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F6E" w:rsidRPr="00234552" w:rsidRDefault="00253F6E" w:rsidP="00F8213A">
      <w:pPr>
        <w:jc w:val="center"/>
        <w:rPr>
          <w:rFonts w:ascii="Times New Roman" w:hAnsi="Times New Roman"/>
          <w:b/>
          <w:bCs/>
          <w:sz w:val="24"/>
          <w:szCs w:val="24"/>
        </w:rPr>
      </w:pPr>
      <w:r w:rsidRPr="00234552">
        <w:rPr>
          <w:rFonts w:ascii="Times New Roman" w:hAnsi="Times New Roman"/>
          <w:b/>
          <w:bCs/>
          <w:sz w:val="24"/>
          <w:szCs w:val="24"/>
        </w:rPr>
        <w:t>STUDY OF FC RECEPTOR-LIKE PROTEIN 3 AND ITS BINDING EFFICIENCY WITH HERBAL AND ALLOPATHIC ANTIBIOTICS</w:t>
      </w:r>
    </w:p>
    <w:p w:rsidR="00253F6E" w:rsidRPr="00234552" w:rsidRDefault="00253F6E" w:rsidP="00F8213A">
      <w:pPr>
        <w:jc w:val="center"/>
        <w:rPr>
          <w:rFonts w:ascii="Times New Roman" w:hAnsi="Times New Roman"/>
          <w:b/>
          <w:bCs/>
          <w:sz w:val="24"/>
          <w:szCs w:val="24"/>
        </w:rPr>
      </w:pPr>
      <w:r w:rsidRPr="00234552">
        <w:rPr>
          <w:rFonts w:ascii="Times New Roman" w:hAnsi="Times New Roman"/>
          <w:b/>
          <w:bCs/>
          <w:sz w:val="24"/>
          <w:szCs w:val="24"/>
        </w:rPr>
        <w:t>Sasikala P</w:t>
      </w:r>
      <w:r w:rsidRPr="00234552">
        <w:rPr>
          <w:rFonts w:ascii="Times New Roman" w:hAnsi="Times New Roman"/>
          <w:b/>
          <w:bCs/>
          <w:sz w:val="24"/>
          <w:szCs w:val="24"/>
          <w:vertAlign w:val="superscript"/>
        </w:rPr>
        <w:t>1</w:t>
      </w:r>
      <w:r w:rsidRPr="00234552">
        <w:rPr>
          <w:rFonts w:ascii="Times New Roman" w:hAnsi="Times New Roman"/>
          <w:b/>
          <w:bCs/>
          <w:sz w:val="24"/>
          <w:szCs w:val="24"/>
        </w:rPr>
        <w:t>, Pugazhendy K*, Tamizhazhagan V</w:t>
      </w:r>
      <w:r w:rsidRPr="00234552">
        <w:rPr>
          <w:rFonts w:ascii="Times New Roman" w:hAnsi="Times New Roman"/>
          <w:b/>
          <w:bCs/>
          <w:sz w:val="24"/>
          <w:szCs w:val="24"/>
          <w:vertAlign w:val="superscript"/>
        </w:rPr>
        <w:t>1</w:t>
      </w:r>
      <w:r w:rsidRPr="00234552">
        <w:rPr>
          <w:rFonts w:ascii="Times New Roman" w:hAnsi="Times New Roman"/>
          <w:b/>
          <w:bCs/>
          <w:sz w:val="24"/>
          <w:szCs w:val="24"/>
        </w:rPr>
        <w:t>, Sakthidasan V</w:t>
      </w:r>
      <w:r w:rsidRPr="00234552">
        <w:rPr>
          <w:rFonts w:ascii="Times New Roman" w:hAnsi="Times New Roman"/>
          <w:b/>
          <w:bCs/>
          <w:sz w:val="24"/>
          <w:szCs w:val="24"/>
          <w:vertAlign w:val="superscript"/>
        </w:rPr>
        <w:t>1</w:t>
      </w:r>
    </w:p>
    <w:p w:rsidR="00253F6E" w:rsidRPr="00234552" w:rsidRDefault="00253F6E" w:rsidP="00F8213A">
      <w:pPr>
        <w:jc w:val="center"/>
        <w:rPr>
          <w:rFonts w:ascii="Times New Roman" w:hAnsi="Times New Roman"/>
          <w:bCs/>
          <w:sz w:val="24"/>
          <w:szCs w:val="24"/>
        </w:rPr>
      </w:pPr>
      <w:r w:rsidRPr="00234552">
        <w:rPr>
          <w:rFonts w:ascii="Times New Roman" w:hAnsi="Times New Roman"/>
          <w:bCs/>
          <w:sz w:val="24"/>
          <w:szCs w:val="24"/>
          <w:vertAlign w:val="superscript"/>
        </w:rPr>
        <w:t>1</w:t>
      </w:r>
      <w:r w:rsidRPr="00234552">
        <w:rPr>
          <w:rFonts w:ascii="Times New Roman" w:hAnsi="Times New Roman"/>
          <w:bCs/>
          <w:sz w:val="24"/>
          <w:szCs w:val="24"/>
        </w:rPr>
        <w:t>Department of Zoology, Annamalai University, Tamilnadu, India</w:t>
      </w:r>
      <w:r w:rsidR="00A34730">
        <w:rPr>
          <w:rFonts w:ascii="Times New Roman" w:hAnsi="Times New Roman"/>
          <w:bCs/>
          <w:sz w:val="24"/>
          <w:szCs w:val="24"/>
        </w:rPr>
        <w:t>.</w:t>
      </w:r>
    </w:p>
    <w:p w:rsidR="00F11ED9" w:rsidRPr="00234552" w:rsidRDefault="00253F6E" w:rsidP="00F8213A">
      <w:pPr>
        <w:spacing w:before="100" w:beforeAutospacing="1" w:after="100" w:afterAutospacing="1"/>
        <w:rPr>
          <w:rFonts w:ascii="Times New Roman" w:eastAsia="Times New Roman" w:hAnsi="Times New Roman"/>
          <w:b/>
          <w:sz w:val="24"/>
          <w:szCs w:val="24"/>
        </w:rPr>
      </w:pPr>
      <w:r w:rsidRPr="00234552">
        <w:rPr>
          <w:rFonts w:ascii="Times New Roman" w:eastAsia="Times New Roman" w:hAnsi="Times New Roman"/>
          <w:b/>
          <w:sz w:val="24"/>
          <w:szCs w:val="24"/>
        </w:rPr>
        <w:t xml:space="preserve"> Abstract</w:t>
      </w:r>
    </w:p>
    <w:p w:rsidR="00F8213A" w:rsidRDefault="00253F6E" w:rsidP="007C489A">
      <w:pPr>
        <w:spacing w:before="100" w:beforeAutospacing="1" w:after="100" w:afterAutospacing="1" w:line="480" w:lineRule="auto"/>
        <w:ind w:firstLine="720"/>
        <w:jc w:val="both"/>
        <w:rPr>
          <w:rFonts w:ascii="Times New Roman" w:eastAsia="Times New Roman" w:hAnsi="Times New Roman"/>
          <w:b/>
          <w:sz w:val="24"/>
          <w:szCs w:val="24"/>
        </w:rPr>
      </w:pPr>
      <w:r w:rsidRPr="00234552">
        <w:rPr>
          <w:rFonts w:ascii="Times New Roman" w:eastAsia="Times New Roman" w:hAnsi="Times New Roman"/>
          <w:sz w:val="24"/>
          <w:szCs w:val="24"/>
        </w:rPr>
        <w:t>This present study aimed t</w:t>
      </w:r>
      <w:r w:rsidR="00A34730">
        <w:rPr>
          <w:rFonts w:ascii="Times New Roman" w:eastAsia="Times New Roman" w:hAnsi="Times New Roman"/>
          <w:sz w:val="24"/>
          <w:szCs w:val="24"/>
        </w:rPr>
        <w:t>o determine the effect of drug (herbal and allopathic)</w:t>
      </w:r>
      <w:r w:rsidRPr="00234552">
        <w:rPr>
          <w:rFonts w:ascii="Times New Roman" w:eastAsia="Times New Roman" w:hAnsi="Times New Roman"/>
          <w:sz w:val="24"/>
          <w:szCs w:val="24"/>
        </w:rPr>
        <w:t xml:space="preserve"> on the FCRL3. FCRL3 protein sequence was collected </w:t>
      </w:r>
      <w:r w:rsidRPr="00234552">
        <w:rPr>
          <w:rFonts w:ascii="Times New Roman" w:eastAsia="Times New Roman" w:hAnsi="Times New Roman"/>
          <w:sz w:val="24"/>
          <w:szCs w:val="24"/>
          <w:u w:color="FA5050"/>
        </w:rPr>
        <w:t xml:space="preserve">from </w:t>
      </w:r>
      <w:r w:rsidRPr="00234552">
        <w:rPr>
          <w:rFonts w:ascii="Times New Roman" w:eastAsia="Times New Roman" w:hAnsi="Times New Roman"/>
          <w:sz w:val="24"/>
          <w:szCs w:val="24"/>
        </w:rPr>
        <w:t xml:space="preserve">Uni-prot, protein sequence data base and </w:t>
      </w:r>
      <w:r w:rsidR="00CC622D" w:rsidRPr="00234552">
        <w:rPr>
          <w:rFonts w:ascii="Times New Roman" w:eastAsia="Times New Roman" w:hAnsi="Times New Roman"/>
          <w:sz w:val="24"/>
          <w:szCs w:val="24"/>
        </w:rPr>
        <w:t>submitted</w:t>
      </w:r>
      <w:r w:rsidRPr="00234552">
        <w:rPr>
          <w:rFonts w:ascii="Times New Roman" w:eastAsia="Times New Roman" w:hAnsi="Times New Roman"/>
          <w:sz w:val="24"/>
          <w:szCs w:val="24"/>
        </w:rPr>
        <w:t xml:space="preserve"> to the SIB- BLAST. The multiple sequence alignment was performed by comparing FCRL3. </w:t>
      </w:r>
      <w:r w:rsidRPr="00234552">
        <w:rPr>
          <w:rFonts w:ascii="Times New Roman" w:hAnsi="Times New Roman"/>
          <w:sz w:val="24"/>
          <w:szCs w:val="24"/>
        </w:rPr>
        <w:t xml:space="preserve">The protein sequence </w:t>
      </w:r>
      <w:r w:rsidRPr="00234552">
        <w:rPr>
          <w:rFonts w:ascii="Times New Roman" w:hAnsi="Times New Roman"/>
          <w:sz w:val="24"/>
          <w:szCs w:val="24"/>
          <w:u w:color="FA5050"/>
        </w:rPr>
        <w:t xml:space="preserve">of </w:t>
      </w:r>
      <w:r w:rsidRPr="00234552">
        <w:rPr>
          <w:rFonts w:ascii="Times New Roman" w:hAnsi="Times New Roman"/>
          <w:sz w:val="24"/>
          <w:szCs w:val="24"/>
        </w:rPr>
        <w:t xml:space="preserve">Human was compared with </w:t>
      </w:r>
      <w:r w:rsidRPr="00234552">
        <w:rPr>
          <w:rFonts w:ascii="Times New Roman" w:hAnsi="Times New Roman"/>
          <w:sz w:val="24"/>
          <w:szCs w:val="24"/>
          <w:u w:color="FA5050"/>
        </w:rPr>
        <w:t>domestic</w:t>
      </w:r>
      <w:r w:rsidRPr="00234552">
        <w:rPr>
          <w:rFonts w:ascii="Times New Roman" w:hAnsi="Times New Roman"/>
          <w:sz w:val="24"/>
          <w:szCs w:val="24"/>
        </w:rPr>
        <w:t xml:space="preserve"> duck</w:t>
      </w:r>
      <w:r w:rsidRPr="00234552">
        <w:rPr>
          <w:rFonts w:ascii="Times New Roman" w:hAnsi="Times New Roman"/>
          <w:i/>
          <w:sz w:val="24"/>
          <w:szCs w:val="24"/>
        </w:rPr>
        <w:t xml:space="preserve">, </w:t>
      </w:r>
      <w:r w:rsidRPr="00234552">
        <w:rPr>
          <w:rFonts w:ascii="Times New Roman" w:hAnsi="Times New Roman"/>
          <w:sz w:val="24"/>
          <w:szCs w:val="24"/>
        </w:rPr>
        <w:t xml:space="preserve">Wild </w:t>
      </w:r>
      <w:r w:rsidRPr="00234552">
        <w:rPr>
          <w:rFonts w:ascii="Times New Roman" w:hAnsi="Times New Roman"/>
          <w:sz w:val="24"/>
          <w:szCs w:val="24"/>
          <w:u w:color="FA5050"/>
        </w:rPr>
        <w:t>Yak</w:t>
      </w:r>
      <w:r w:rsidRPr="00234552">
        <w:rPr>
          <w:rFonts w:ascii="Times New Roman" w:hAnsi="Times New Roman"/>
          <w:sz w:val="24"/>
          <w:szCs w:val="24"/>
        </w:rPr>
        <w:t xml:space="preserve">, Black flying fox, American mink by using CLUSTAL W2. The </w:t>
      </w:r>
      <w:r w:rsidRPr="00234552">
        <w:rPr>
          <w:rFonts w:ascii="Times New Roman" w:hAnsi="Times New Roman"/>
          <w:sz w:val="24"/>
          <w:szCs w:val="24"/>
          <w:u w:color="FA5050"/>
        </w:rPr>
        <w:t>secondary</w:t>
      </w:r>
      <w:r w:rsidRPr="00234552">
        <w:rPr>
          <w:rFonts w:ascii="Times New Roman" w:hAnsi="Times New Roman"/>
          <w:sz w:val="24"/>
          <w:szCs w:val="24"/>
        </w:rPr>
        <w:t xml:space="preserve"> structure was </w:t>
      </w:r>
      <w:r w:rsidRPr="00234552">
        <w:rPr>
          <w:rFonts w:ascii="Times New Roman" w:hAnsi="Times New Roman"/>
          <w:sz w:val="24"/>
          <w:szCs w:val="24"/>
          <w:u w:color="FA5050"/>
        </w:rPr>
        <w:t xml:space="preserve">determined by using </w:t>
      </w:r>
      <w:r w:rsidRPr="00234552">
        <w:rPr>
          <w:rFonts w:ascii="Times New Roman" w:hAnsi="Times New Roman"/>
          <w:sz w:val="24"/>
          <w:szCs w:val="24"/>
        </w:rPr>
        <w:t xml:space="preserve">CFSSP. </w:t>
      </w:r>
      <w:r w:rsidRPr="00234552">
        <w:rPr>
          <w:rFonts w:ascii="Times New Roman" w:hAnsi="Times New Roman"/>
          <w:sz w:val="24"/>
          <w:szCs w:val="24"/>
          <w:u w:color="FA5050"/>
        </w:rPr>
        <w:t xml:space="preserve">The </w:t>
      </w:r>
      <w:r w:rsidRPr="00234552">
        <w:rPr>
          <w:rFonts w:ascii="Times New Roman" w:hAnsi="Times New Roman"/>
          <w:sz w:val="24"/>
          <w:szCs w:val="24"/>
        </w:rPr>
        <w:t xml:space="preserve">composition of amino acids was determined by using Protparam. The tertiary structure of FcRL 3 was predicted by using CPH modeling server and visualized through Rasmol. Ramachandran plot was performed for FCRL3 using Rampage software. The active sites were predicted by CASTp. The docking of FCRL3 </w:t>
      </w:r>
      <w:r w:rsidRPr="00234552">
        <w:rPr>
          <w:rFonts w:ascii="Times New Roman" w:hAnsi="Times New Roman"/>
          <w:sz w:val="24"/>
          <w:szCs w:val="24"/>
          <w:u w:color="FA5050"/>
        </w:rPr>
        <w:t>with</w:t>
      </w:r>
      <w:r w:rsidRPr="00234552">
        <w:rPr>
          <w:rFonts w:ascii="Times New Roman" w:hAnsi="Times New Roman"/>
          <w:sz w:val="24"/>
          <w:szCs w:val="24"/>
        </w:rPr>
        <w:t xml:space="preserve"> selected herbal </w:t>
      </w:r>
      <w:r w:rsidR="00EC5EC3" w:rsidRPr="00234552">
        <w:rPr>
          <w:rFonts w:ascii="Times New Roman" w:hAnsi="Times New Roman"/>
          <w:sz w:val="24"/>
          <w:szCs w:val="24"/>
        </w:rPr>
        <w:t xml:space="preserve">Acetaminophen </w:t>
      </w:r>
      <w:r w:rsidRPr="00234552">
        <w:rPr>
          <w:rFonts w:ascii="Times New Roman" w:hAnsi="Times New Roman"/>
          <w:sz w:val="24"/>
          <w:szCs w:val="24"/>
        </w:rPr>
        <w:t xml:space="preserve">and </w:t>
      </w:r>
      <w:r w:rsidRPr="00234552">
        <w:rPr>
          <w:rFonts w:ascii="Times New Roman" w:hAnsi="Times New Roman"/>
          <w:sz w:val="24"/>
          <w:szCs w:val="24"/>
          <w:u w:color="FA5050"/>
        </w:rPr>
        <w:t>Allopathic</w:t>
      </w:r>
      <w:r w:rsidRPr="00234552">
        <w:rPr>
          <w:rFonts w:ascii="Times New Roman" w:hAnsi="Times New Roman"/>
          <w:sz w:val="24"/>
          <w:szCs w:val="24"/>
        </w:rPr>
        <w:t xml:space="preserve"> </w:t>
      </w:r>
      <w:r w:rsidR="00EC5EC3" w:rsidRPr="00234552">
        <w:rPr>
          <w:rFonts w:ascii="Times New Roman" w:hAnsi="Times New Roman"/>
          <w:sz w:val="24"/>
          <w:szCs w:val="24"/>
        </w:rPr>
        <w:t xml:space="preserve">methimazole </w:t>
      </w:r>
      <w:r w:rsidRPr="00234552">
        <w:rPr>
          <w:rFonts w:ascii="Times New Roman" w:hAnsi="Times New Roman"/>
          <w:sz w:val="24"/>
          <w:szCs w:val="24"/>
        </w:rPr>
        <w:t>was performed by Hex 6.3.</w:t>
      </w:r>
    </w:p>
    <w:p w:rsidR="00BF3A6A" w:rsidRPr="00234552" w:rsidRDefault="00BF3A6A" w:rsidP="00BF3A6A">
      <w:pPr>
        <w:spacing w:before="100" w:beforeAutospacing="1" w:after="100" w:afterAutospacing="1"/>
        <w:jc w:val="both"/>
        <w:rPr>
          <w:rFonts w:ascii="Times New Roman" w:eastAsia="Times New Roman" w:hAnsi="Times New Roman"/>
          <w:b/>
          <w:sz w:val="24"/>
          <w:szCs w:val="24"/>
        </w:rPr>
      </w:pPr>
      <w:r>
        <w:rPr>
          <w:rFonts w:ascii="Times New Roman" w:eastAsia="Times New Roman" w:hAnsi="Times New Roman"/>
          <w:b/>
          <w:sz w:val="24"/>
          <w:szCs w:val="24"/>
        </w:rPr>
        <w:t xml:space="preserve">Keywords: </w:t>
      </w:r>
      <w:r w:rsidR="007C489A" w:rsidRPr="00BF3A6A">
        <w:rPr>
          <w:rFonts w:ascii="Times New Roman" w:hAnsi="Times New Roman"/>
          <w:sz w:val="24"/>
          <w:szCs w:val="24"/>
        </w:rPr>
        <w:t>Graves’s</w:t>
      </w:r>
      <w:r w:rsidRPr="00BF3A6A">
        <w:rPr>
          <w:rFonts w:ascii="Times New Roman" w:hAnsi="Times New Roman"/>
          <w:sz w:val="24"/>
          <w:szCs w:val="24"/>
        </w:rPr>
        <w:t xml:space="preserve"> disease,</w:t>
      </w:r>
      <w:r w:rsidRPr="00BF3A6A">
        <w:rPr>
          <w:rFonts w:ascii="Times New Roman" w:eastAsia="Times New Roman" w:hAnsi="Times New Roman"/>
          <w:sz w:val="24"/>
          <w:szCs w:val="24"/>
        </w:rPr>
        <w:t xml:space="preserve"> Herbal drug, Allopathic drugs,</w:t>
      </w:r>
      <w:r w:rsidRPr="00BF3A6A">
        <w:rPr>
          <w:rFonts w:ascii="Times New Roman" w:hAnsi="Times New Roman"/>
          <w:sz w:val="24"/>
          <w:szCs w:val="24"/>
        </w:rPr>
        <w:t xml:space="preserve"> </w:t>
      </w:r>
      <w:r w:rsidRPr="00A34730">
        <w:rPr>
          <w:rFonts w:ascii="Times New Roman" w:hAnsi="Times New Roman"/>
          <w:noProof/>
          <w:sz w:val="24"/>
          <w:szCs w:val="24"/>
        </w:rPr>
        <w:t>Ac</w:t>
      </w:r>
      <w:r w:rsidR="00A34730">
        <w:rPr>
          <w:rFonts w:ascii="Times New Roman" w:hAnsi="Times New Roman"/>
          <w:noProof/>
          <w:sz w:val="24"/>
          <w:szCs w:val="24"/>
        </w:rPr>
        <w:t>e</w:t>
      </w:r>
      <w:r w:rsidRPr="00A34730">
        <w:rPr>
          <w:rFonts w:ascii="Times New Roman" w:hAnsi="Times New Roman"/>
          <w:noProof/>
          <w:sz w:val="24"/>
          <w:szCs w:val="24"/>
        </w:rPr>
        <w:t>taminophen</w:t>
      </w:r>
      <w:r w:rsidRPr="00BF3A6A">
        <w:rPr>
          <w:rFonts w:ascii="Times New Roman" w:hAnsi="Times New Roman"/>
          <w:sz w:val="24"/>
          <w:szCs w:val="24"/>
        </w:rPr>
        <w:t>, Methimazole</w:t>
      </w:r>
      <w:r>
        <w:rPr>
          <w:rFonts w:ascii="Times New Roman" w:hAnsi="Times New Roman"/>
          <w:sz w:val="24"/>
          <w:szCs w:val="24"/>
        </w:rPr>
        <w:t>.</w:t>
      </w:r>
    </w:p>
    <w:p w:rsidR="00F11ED9" w:rsidRPr="00234552" w:rsidRDefault="00253F6E" w:rsidP="00F8213A">
      <w:pPr>
        <w:spacing w:before="100" w:beforeAutospacing="1" w:after="100" w:afterAutospacing="1"/>
        <w:jc w:val="both"/>
        <w:rPr>
          <w:rFonts w:ascii="Times New Roman" w:hAnsi="Times New Roman"/>
          <w:sz w:val="24"/>
          <w:szCs w:val="24"/>
        </w:rPr>
      </w:pPr>
      <w:r w:rsidRPr="00234552">
        <w:rPr>
          <w:rFonts w:ascii="Times New Roman" w:hAnsi="Times New Roman"/>
          <w:sz w:val="24"/>
          <w:szCs w:val="24"/>
        </w:rPr>
        <w:t xml:space="preserve"> </w:t>
      </w:r>
      <w:r w:rsidRPr="00234552">
        <w:rPr>
          <w:rFonts w:ascii="Times New Roman" w:eastAsia="Times New Roman" w:hAnsi="Times New Roman"/>
          <w:b/>
          <w:sz w:val="24"/>
          <w:szCs w:val="24"/>
        </w:rPr>
        <w:t>INTRODUCTION</w:t>
      </w:r>
    </w:p>
    <w:p w:rsidR="00F11ED9" w:rsidRPr="00234552" w:rsidRDefault="00253F6E" w:rsidP="007C489A">
      <w:pPr>
        <w:spacing w:before="100" w:beforeAutospacing="1" w:after="100" w:afterAutospacing="1" w:line="480" w:lineRule="auto"/>
        <w:jc w:val="both"/>
        <w:rPr>
          <w:rFonts w:ascii="Times New Roman" w:hAnsi="Times New Roman"/>
          <w:sz w:val="24"/>
          <w:szCs w:val="24"/>
        </w:rPr>
      </w:pPr>
      <w:r w:rsidRPr="00234552">
        <w:rPr>
          <w:rFonts w:ascii="Times New Roman" w:hAnsi="Times New Roman"/>
          <w:sz w:val="24"/>
          <w:szCs w:val="24"/>
        </w:rPr>
        <w:t xml:space="preserve">Bioinformatics is the field of science in which biology, computer science and information </w:t>
      </w:r>
      <w:r w:rsidR="00F8213A" w:rsidRPr="00234552">
        <w:rPr>
          <w:rFonts w:ascii="Times New Roman" w:hAnsi="Times New Roman"/>
          <w:sz w:val="24"/>
          <w:szCs w:val="24"/>
        </w:rPr>
        <w:t>technology merges</w:t>
      </w:r>
      <w:r w:rsidRPr="00234552">
        <w:rPr>
          <w:rFonts w:ascii="Times New Roman" w:hAnsi="Times New Roman"/>
          <w:sz w:val="24"/>
          <w:szCs w:val="24"/>
        </w:rPr>
        <w:t xml:space="preserve"> to form a single discipline. Bioinformatics has not only become essential for basic genomic and molecular biology research, but </w:t>
      </w:r>
      <w:r w:rsidRPr="00A34730">
        <w:rPr>
          <w:rFonts w:ascii="Times New Roman" w:hAnsi="Times New Roman"/>
          <w:noProof/>
          <w:sz w:val="24"/>
          <w:szCs w:val="24"/>
        </w:rPr>
        <w:t>it</w:t>
      </w:r>
      <w:r w:rsidR="00A34730">
        <w:rPr>
          <w:rFonts w:ascii="Times New Roman" w:hAnsi="Times New Roman"/>
          <w:noProof/>
          <w:sz w:val="24"/>
          <w:szCs w:val="24"/>
        </w:rPr>
        <w:t>'</w:t>
      </w:r>
      <w:r w:rsidRPr="00A34730">
        <w:rPr>
          <w:rFonts w:ascii="Times New Roman" w:hAnsi="Times New Roman"/>
          <w:noProof/>
          <w:sz w:val="24"/>
          <w:szCs w:val="24"/>
        </w:rPr>
        <w:t>s</w:t>
      </w:r>
      <w:r w:rsidRPr="00234552">
        <w:rPr>
          <w:rFonts w:ascii="Times New Roman" w:hAnsi="Times New Roman"/>
          <w:sz w:val="24"/>
          <w:szCs w:val="24"/>
        </w:rPr>
        <w:t xml:space="preserve"> having a major impact on many areas of biotechnology and biomedical sciences. The areas of sequence analysis include sequence alignment, sequence database searching, motif and pattern discovery, gene and promoter finding, reconstruction of evolutionary relationships and genome assembly and comparison. Structural analyses include protein and nucleic acid structure analysis, comparison, classification and prediction. </w:t>
      </w:r>
      <w:r w:rsidRPr="00234552">
        <w:rPr>
          <w:rFonts w:ascii="Times New Roman" w:hAnsi="Times New Roman"/>
          <w:sz w:val="24"/>
          <w:szCs w:val="24"/>
          <w:u w:color="FA5050"/>
        </w:rPr>
        <w:t>Functional</w:t>
      </w:r>
      <w:r w:rsidRPr="00234552">
        <w:rPr>
          <w:rFonts w:ascii="Times New Roman" w:hAnsi="Times New Roman"/>
          <w:sz w:val="24"/>
          <w:szCs w:val="24"/>
        </w:rPr>
        <w:t xml:space="preserve"> analyses include gene expression </w:t>
      </w:r>
      <w:r w:rsidRPr="00234552">
        <w:rPr>
          <w:rFonts w:ascii="Times New Roman" w:hAnsi="Times New Roman"/>
          <w:sz w:val="24"/>
          <w:szCs w:val="24"/>
        </w:rPr>
        <w:lastRenderedPageBreak/>
        <w:t xml:space="preserve">profiling, </w:t>
      </w:r>
      <w:r w:rsidRPr="00A34730">
        <w:rPr>
          <w:rFonts w:ascii="Times New Roman" w:hAnsi="Times New Roman"/>
          <w:noProof/>
          <w:sz w:val="24"/>
          <w:szCs w:val="24"/>
        </w:rPr>
        <w:t>protein</w:t>
      </w:r>
      <w:r w:rsidR="00A34730">
        <w:rPr>
          <w:rFonts w:ascii="Times New Roman" w:hAnsi="Times New Roman"/>
          <w:noProof/>
          <w:sz w:val="24"/>
          <w:szCs w:val="24"/>
        </w:rPr>
        <w:t>-</w:t>
      </w:r>
      <w:r w:rsidRPr="00A34730">
        <w:rPr>
          <w:rFonts w:ascii="Times New Roman" w:hAnsi="Times New Roman"/>
          <w:noProof/>
          <w:sz w:val="24"/>
          <w:szCs w:val="24"/>
        </w:rPr>
        <w:t>protein</w:t>
      </w:r>
      <w:r w:rsidRPr="00234552">
        <w:rPr>
          <w:rFonts w:ascii="Times New Roman" w:hAnsi="Times New Roman"/>
          <w:sz w:val="24"/>
          <w:szCs w:val="24"/>
        </w:rPr>
        <w:t xml:space="preserve"> interaction prediction, protein </w:t>
      </w:r>
      <w:r w:rsidRPr="00A34730">
        <w:rPr>
          <w:rFonts w:ascii="Times New Roman" w:hAnsi="Times New Roman"/>
          <w:noProof/>
          <w:sz w:val="24"/>
          <w:szCs w:val="24"/>
        </w:rPr>
        <w:t>subcellular</w:t>
      </w:r>
      <w:r w:rsidRPr="00234552">
        <w:rPr>
          <w:rFonts w:ascii="Times New Roman" w:hAnsi="Times New Roman"/>
          <w:sz w:val="24"/>
          <w:szCs w:val="24"/>
        </w:rPr>
        <w:t xml:space="preserve"> localization prediction, metabolic pathway reconstruction and simulation </w:t>
      </w:r>
      <w:r w:rsidR="00BF493D" w:rsidRPr="00234552">
        <w:rPr>
          <w:rFonts w:ascii="Times New Roman" w:hAnsi="Times New Roman"/>
          <w:sz w:val="24"/>
          <w:szCs w:val="24"/>
        </w:rPr>
        <w:fldChar w:fldCharType="begin"/>
      </w:r>
      <w:r w:rsidR="00F8213A" w:rsidRPr="00234552">
        <w:rPr>
          <w:rFonts w:ascii="Times New Roman" w:hAnsi="Times New Roman"/>
          <w:sz w:val="24"/>
          <w:szCs w:val="24"/>
        </w:rPr>
        <w:instrText xml:space="preserve"> ADDIN EN.CITE &lt;EndNote&gt;&lt;Cite&gt;&lt;Author&gt;Ljunggren&lt;/Author&gt;&lt;Year&gt;1983&lt;/Year&gt;&lt;RecNum&gt;1153&lt;/RecNum&gt;&lt;DisplayText&gt;[1]&lt;/DisplayText&gt;&lt;record&gt;&lt;rec-number&gt;1153&lt;/rec-number&gt;&lt;foreign-keys&gt;&lt;key app="EN" db-id="5t9a0wevofsa0aersrpp9efbdaztxs2a2ze2" timestamp="1532549326"&gt;1153&lt;/key&gt;&lt;/foreign-keys&gt;&lt;ref-type name="Journal Article"&gt;17&lt;/ref-type&gt;&lt;contributors&gt;&lt;authors&gt;&lt;author&gt;Ljunggren, JG&lt;/author&gt;&lt;/authors&gt;&lt;/contributors&gt;&lt;titles&gt;&lt;title&gt;Who was the man behind the syndrome: Ismail al-Jurjani, Testa, Flagani, Parry, Graves or Basedow? Use the term hyperthyreosis instead&lt;/title&gt;&lt;secondary-title&gt;Lakartidningen&lt;/secondary-title&gt;&lt;/titles&gt;&lt;periodical&gt;&lt;full-title&gt;Lakartidningen&lt;/full-title&gt;&lt;/periodical&gt;&lt;pages&gt;2902&lt;/pages&gt;&lt;volume&gt;80&lt;/volume&gt;&lt;number&gt;32-33&lt;/number&gt;&lt;dates&gt;&lt;year&gt;1983&lt;/year&gt;&lt;/dates&gt;&lt;isbn&gt;0023-7205&lt;/isbn&gt;&lt;urls&gt;&lt;/urls&gt;&lt;/record&gt;&lt;/Cite&gt;&lt;/EndNote&gt;</w:instrText>
      </w:r>
      <w:r w:rsidR="00BF493D" w:rsidRPr="00234552">
        <w:rPr>
          <w:rFonts w:ascii="Times New Roman" w:hAnsi="Times New Roman"/>
          <w:sz w:val="24"/>
          <w:szCs w:val="24"/>
        </w:rPr>
        <w:fldChar w:fldCharType="separate"/>
      </w:r>
      <w:r w:rsidR="00F8213A" w:rsidRPr="00234552">
        <w:rPr>
          <w:rFonts w:ascii="Times New Roman" w:hAnsi="Times New Roman"/>
          <w:noProof/>
          <w:sz w:val="24"/>
          <w:szCs w:val="24"/>
        </w:rPr>
        <w:t>[</w:t>
      </w:r>
      <w:hyperlink w:anchor="_ENREF_1" w:tooltip="Ljunggren, 1983 #1153" w:history="1">
        <w:r w:rsidR="00412F76" w:rsidRPr="00234552">
          <w:rPr>
            <w:rFonts w:ascii="Times New Roman" w:hAnsi="Times New Roman"/>
            <w:noProof/>
            <w:sz w:val="24"/>
            <w:szCs w:val="24"/>
          </w:rPr>
          <w:t>1</w:t>
        </w:r>
      </w:hyperlink>
      <w:r w:rsidR="00F8213A" w:rsidRPr="00234552">
        <w:rPr>
          <w:rFonts w:ascii="Times New Roman" w:hAnsi="Times New Roman"/>
          <w:noProof/>
          <w:sz w:val="24"/>
          <w:szCs w:val="24"/>
        </w:rPr>
        <w:t>]</w:t>
      </w:r>
      <w:r w:rsidR="00BF493D" w:rsidRPr="00234552">
        <w:rPr>
          <w:rFonts w:ascii="Times New Roman" w:hAnsi="Times New Roman"/>
          <w:sz w:val="24"/>
          <w:szCs w:val="24"/>
        </w:rPr>
        <w:fldChar w:fldCharType="end"/>
      </w:r>
      <w:r w:rsidRPr="00234552">
        <w:rPr>
          <w:rFonts w:ascii="Times New Roman" w:hAnsi="Times New Roman"/>
          <w:sz w:val="24"/>
          <w:szCs w:val="24"/>
        </w:rPr>
        <w:t>.</w:t>
      </w:r>
      <w:r w:rsidR="00EC5EC3" w:rsidRPr="00234552">
        <w:rPr>
          <w:rFonts w:ascii="Times New Roman" w:hAnsi="Times New Roman"/>
          <w:sz w:val="24"/>
          <w:szCs w:val="24"/>
        </w:rPr>
        <w:t xml:space="preserve"> </w:t>
      </w:r>
      <w:r w:rsidRPr="00234552">
        <w:rPr>
          <w:rFonts w:ascii="Times New Roman" w:hAnsi="Times New Roman"/>
          <w:sz w:val="24"/>
          <w:szCs w:val="24"/>
        </w:rPr>
        <w:t xml:space="preserve">Graves disease, named after is an autoimmune disease characterized by </w:t>
      </w:r>
      <w:r w:rsidRPr="00234552">
        <w:rPr>
          <w:rStyle w:val="Emphasis"/>
          <w:rFonts w:ascii="Times New Roman" w:hAnsi="Times New Roman"/>
          <w:i w:val="0"/>
          <w:sz w:val="24"/>
          <w:szCs w:val="24"/>
        </w:rPr>
        <w:t>hyperthyroidism</w:t>
      </w:r>
      <w:r w:rsidRPr="00234552">
        <w:rPr>
          <w:rFonts w:ascii="Times New Roman" w:hAnsi="Times New Roman"/>
          <w:i/>
          <w:sz w:val="24"/>
          <w:szCs w:val="24"/>
        </w:rPr>
        <w:t xml:space="preserve"> </w:t>
      </w:r>
      <w:r w:rsidRPr="00234552">
        <w:rPr>
          <w:rFonts w:ascii="Times New Roman" w:hAnsi="Times New Roman"/>
          <w:sz w:val="24"/>
          <w:szCs w:val="24"/>
        </w:rPr>
        <w:t>due</w:t>
      </w:r>
      <w:r w:rsidRPr="00234552">
        <w:rPr>
          <w:rFonts w:ascii="Times New Roman" w:hAnsi="Times New Roman"/>
          <w:i/>
          <w:sz w:val="24"/>
          <w:szCs w:val="24"/>
        </w:rPr>
        <w:t xml:space="preserve"> </w:t>
      </w:r>
      <w:r w:rsidRPr="00234552">
        <w:rPr>
          <w:rFonts w:ascii="Times New Roman" w:hAnsi="Times New Roman"/>
          <w:sz w:val="24"/>
          <w:szCs w:val="24"/>
        </w:rPr>
        <w:t>to circulating autoantibodies</w:t>
      </w:r>
      <w:r w:rsidR="00BF493D" w:rsidRPr="00234552">
        <w:rPr>
          <w:rFonts w:ascii="Times New Roman" w:hAnsi="Times New Roman"/>
          <w:sz w:val="24"/>
          <w:szCs w:val="24"/>
        </w:rPr>
        <w:fldChar w:fldCharType="begin"/>
      </w:r>
      <w:r w:rsidR="00F8213A" w:rsidRPr="00234552">
        <w:rPr>
          <w:rFonts w:ascii="Times New Roman" w:hAnsi="Times New Roman"/>
          <w:sz w:val="24"/>
          <w:szCs w:val="24"/>
        </w:rPr>
        <w:instrText xml:space="preserve"> ADDIN EN.CITE &lt;EndNote&gt;&lt;Cite&gt;&lt;Author&gt;Wishart&lt;/Author&gt;&lt;Year&gt;2007&lt;/Year&gt;&lt;RecNum&gt;1154&lt;/RecNum&gt;&lt;DisplayText&gt;[2]&lt;/DisplayText&gt;&lt;record&gt;&lt;rec-number&gt;1154&lt;/rec-number&gt;&lt;foreign-keys&gt;&lt;key app="EN" db-id="5t9a0wevofsa0aersrpp9efbdaztxs2a2ze2" timestamp="1532549400"&gt;1154&lt;/key&gt;&lt;/foreign-keys&gt;&lt;ref-type name="Journal Article"&gt;17&lt;/ref-type&gt;&lt;contributors&gt;&lt;authors&gt;&lt;author&gt;Wishart, David S&lt;/author&gt;&lt;author&gt;Knox, Craig&lt;/author&gt;&lt;author&gt;Guo, An Chi&lt;/author&gt;&lt;author&gt;Cheng, Dean&lt;/author&gt;&lt;author&gt;Shrivastava, Savita&lt;/author&gt;&lt;author&gt;Tzur, Dan&lt;/author&gt;&lt;author&gt;Gautam, Bijaya&lt;/author&gt;&lt;author&gt;Hassanali, Murtaza&lt;/author&gt;&lt;/authors&gt;&lt;/contributors&gt;&lt;titles&gt;&lt;title&gt;DrugBank: a knowledgebase for drugs, drug actions and drug targets&lt;/title&gt;&lt;secondary-title&gt;Nucleic acids research&lt;/secondary-title&gt;&lt;/titles&gt;&lt;periodical&gt;&lt;full-title&gt;Nucleic acids research&lt;/full-title&gt;&lt;/periodical&gt;&lt;pages&gt;D901-D906&lt;/pages&gt;&lt;volume&gt;36&lt;/volume&gt;&lt;number&gt;suppl_1&lt;/number&gt;&lt;dates&gt;&lt;year&gt;2007&lt;/year&gt;&lt;/dates&gt;&lt;isbn&gt;0305-1048&lt;/isbn&gt;&lt;urls&gt;&lt;/urls&gt;&lt;/record&gt;&lt;/Cite&gt;&lt;/EndNote&gt;</w:instrText>
      </w:r>
      <w:r w:rsidR="00BF493D" w:rsidRPr="00234552">
        <w:rPr>
          <w:rFonts w:ascii="Times New Roman" w:hAnsi="Times New Roman"/>
          <w:sz w:val="24"/>
          <w:szCs w:val="24"/>
        </w:rPr>
        <w:fldChar w:fldCharType="separate"/>
      </w:r>
      <w:r w:rsidR="00F8213A" w:rsidRPr="00234552">
        <w:rPr>
          <w:rFonts w:ascii="Times New Roman" w:hAnsi="Times New Roman"/>
          <w:noProof/>
          <w:sz w:val="24"/>
          <w:szCs w:val="24"/>
        </w:rPr>
        <w:t>[</w:t>
      </w:r>
      <w:hyperlink w:anchor="_ENREF_2" w:tooltip="Wishart, 2007 #1154" w:history="1">
        <w:r w:rsidR="00412F76" w:rsidRPr="00234552">
          <w:rPr>
            <w:rFonts w:ascii="Times New Roman" w:hAnsi="Times New Roman"/>
            <w:noProof/>
            <w:sz w:val="24"/>
            <w:szCs w:val="24"/>
          </w:rPr>
          <w:t>2</w:t>
        </w:r>
      </w:hyperlink>
      <w:r w:rsidR="00F8213A" w:rsidRPr="00234552">
        <w:rPr>
          <w:rFonts w:ascii="Times New Roman" w:hAnsi="Times New Roman"/>
          <w:noProof/>
          <w:sz w:val="24"/>
          <w:szCs w:val="24"/>
        </w:rPr>
        <w:t>]</w:t>
      </w:r>
      <w:r w:rsidR="00BF493D" w:rsidRPr="00234552">
        <w:rPr>
          <w:rFonts w:ascii="Times New Roman" w:hAnsi="Times New Roman"/>
          <w:sz w:val="24"/>
          <w:szCs w:val="24"/>
        </w:rPr>
        <w:fldChar w:fldCharType="end"/>
      </w:r>
      <w:r w:rsidRPr="00234552">
        <w:rPr>
          <w:rFonts w:ascii="Times New Roman" w:hAnsi="Times New Roman"/>
          <w:sz w:val="24"/>
          <w:szCs w:val="24"/>
        </w:rPr>
        <w:t>. Thyroid-stimulating immunoglobulins (TSIs) bind to and activate thyrotropin receptors, causing the thyroid gland to grow and the thyroid follicles to increase synthesis of thyroid hormone</w:t>
      </w:r>
      <w:r w:rsidRPr="00234552">
        <w:rPr>
          <w:rFonts w:ascii="Times New Roman" w:hAnsi="Times New Roman"/>
          <w:i/>
          <w:sz w:val="24"/>
          <w:szCs w:val="24"/>
        </w:rPr>
        <w:t xml:space="preserve">. </w:t>
      </w:r>
      <w:r w:rsidRPr="00234552">
        <w:rPr>
          <w:rStyle w:val="Emphasis"/>
          <w:rFonts w:ascii="Times New Roman" w:hAnsi="Times New Roman"/>
          <w:i w:val="0"/>
          <w:sz w:val="24"/>
          <w:szCs w:val="24"/>
        </w:rPr>
        <w:t xml:space="preserve">Graves disease, along with Hashimoto thyroiditis, is classified as an autoimmune thyroid disorder. In some patients, Graves disease represents a part of more extensive autoimmune processes leading to dysfunction of multiple organs. Graves disease is associated with </w:t>
      </w:r>
      <w:hyperlink r:id="rId8" w:tgtFrame="_self" w:history="1">
        <w:r w:rsidRPr="00234552">
          <w:rPr>
            <w:rStyle w:val="Emphasis"/>
            <w:rFonts w:ascii="Times New Roman" w:hAnsi="Times New Roman"/>
            <w:i w:val="0"/>
            <w:sz w:val="24"/>
            <w:szCs w:val="24"/>
          </w:rPr>
          <w:t>pernicious anemia</w:t>
        </w:r>
      </w:hyperlink>
      <w:r w:rsidRPr="00234552">
        <w:rPr>
          <w:rStyle w:val="Emphasis"/>
          <w:rFonts w:ascii="Times New Roman" w:hAnsi="Times New Roman"/>
          <w:i w:val="0"/>
          <w:sz w:val="24"/>
          <w:szCs w:val="24"/>
        </w:rPr>
        <w:t xml:space="preserve">, vitiligo, diabetes mellitus type 1, autoimmune adrenal insufficiency, systemic sclerosis, myasthenia </w:t>
      </w:r>
      <w:r w:rsidRPr="00234552">
        <w:rPr>
          <w:rStyle w:val="Emphasis"/>
          <w:rFonts w:ascii="Times New Roman" w:hAnsi="Times New Roman"/>
          <w:i w:val="0"/>
          <w:sz w:val="24"/>
          <w:szCs w:val="24"/>
          <w:u w:color="FA5050"/>
        </w:rPr>
        <w:t>graves</w:t>
      </w:r>
      <w:r w:rsidRPr="00234552">
        <w:rPr>
          <w:rStyle w:val="Emphasis"/>
          <w:rFonts w:ascii="Times New Roman" w:hAnsi="Times New Roman"/>
          <w:i w:val="0"/>
          <w:sz w:val="24"/>
          <w:szCs w:val="24"/>
        </w:rPr>
        <w:t xml:space="preserve">, Sjögren syndrome, rheumatoid arthritis and systemic lupus </w:t>
      </w:r>
      <w:r w:rsidRPr="00234552">
        <w:rPr>
          <w:rStyle w:val="Emphasis"/>
          <w:rFonts w:ascii="Times New Roman" w:hAnsi="Times New Roman"/>
          <w:i w:val="0"/>
          <w:sz w:val="24"/>
          <w:szCs w:val="24"/>
          <w:u w:color="FA5050"/>
        </w:rPr>
        <w:t>erythematosus</w:t>
      </w:r>
      <w:r w:rsidRPr="00234552">
        <w:rPr>
          <w:rFonts w:ascii="Times New Roman" w:hAnsi="Times New Roman"/>
          <w:i/>
          <w:sz w:val="24"/>
          <w:szCs w:val="24"/>
        </w:rPr>
        <w:t xml:space="preserve"> </w:t>
      </w:r>
      <w:r w:rsidR="00BF493D" w:rsidRPr="00234552">
        <w:rPr>
          <w:rStyle w:val="Emphasis"/>
          <w:rFonts w:ascii="Times New Roman" w:hAnsi="Times New Roman"/>
          <w:i w:val="0"/>
          <w:sz w:val="24"/>
          <w:szCs w:val="24"/>
        </w:rPr>
        <w:fldChar w:fldCharType="begin"/>
      </w:r>
      <w:r w:rsidR="00F8213A" w:rsidRPr="00234552">
        <w:rPr>
          <w:rStyle w:val="Emphasis"/>
          <w:rFonts w:ascii="Times New Roman" w:hAnsi="Times New Roman"/>
          <w:i w:val="0"/>
          <w:sz w:val="24"/>
          <w:szCs w:val="24"/>
        </w:rPr>
        <w:instrText xml:space="preserve"> ADDIN EN.CITE &lt;EndNote&gt;&lt;Cite&gt;&lt;Author&gt;Brix&lt;/Author&gt;&lt;Year&gt;2001&lt;/Year&gt;&lt;RecNum&gt;1155&lt;/RecNum&gt;&lt;DisplayText&gt;[3]&lt;/DisplayText&gt;&lt;record&gt;&lt;rec-number&gt;1155&lt;/rec-number&gt;&lt;foreign-keys&gt;&lt;key app="EN" db-id="5t9a0wevofsa0aersrpp9efbdaztxs2a2ze2" timestamp="1532549445"&gt;1155&lt;/key&gt;&lt;/foreign-keys&gt;&lt;ref-type name="Journal Article"&gt;17&lt;/ref-type&gt;&lt;contributors&gt;&lt;authors&gt;&lt;author&gt;Brix, Thomas Heiberg&lt;/author&gt;&lt;author&gt;Kyvik, Kirsten Ohm&lt;/author&gt;&lt;author&gt;Christensen, Kaare&lt;/author&gt;&lt;author&gt;Hegedüs, Laszlo&lt;/author&gt;&lt;/authors&gt;&lt;/contributors&gt;&lt;titles&gt;&lt;title&gt;Evidence for a major role of heredity in Graves’ disease: a population-based study of two Danish twin cohorts&lt;/title&gt;&lt;secondary-title&gt;The Journal of Clinical Endocrinology &amp;amp; Metabolism&lt;/secondary-title&gt;&lt;/titles&gt;&lt;periodical&gt;&lt;full-title&gt;The Journal of Clinical Endocrinology &amp;amp; Metabolism&lt;/full-title&gt;&lt;/periodical&gt;&lt;pages&gt;930-934&lt;/pages&gt;&lt;volume&gt;86&lt;/volume&gt;&lt;number&gt;2&lt;/number&gt;&lt;dates&gt;&lt;year&gt;2001&lt;/year&gt;&lt;/dates&gt;&lt;isbn&gt;0021-972X&lt;/isbn&gt;&lt;urls&gt;&lt;/urls&gt;&lt;/record&gt;&lt;/Cite&gt;&lt;/EndNote&gt;</w:instrText>
      </w:r>
      <w:r w:rsidR="00BF493D" w:rsidRPr="00234552">
        <w:rPr>
          <w:rStyle w:val="Emphasis"/>
          <w:rFonts w:ascii="Times New Roman" w:hAnsi="Times New Roman"/>
          <w:i w:val="0"/>
          <w:sz w:val="24"/>
          <w:szCs w:val="24"/>
        </w:rPr>
        <w:fldChar w:fldCharType="separate"/>
      </w:r>
      <w:r w:rsidR="00F8213A" w:rsidRPr="00234552">
        <w:rPr>
          <w:rStyle w:val="Emphasis"/>
          <w:rFonts w:ascii="Times New Roman" w:hAnsi="Times New Roman"/>
          <w:i w:val="0"/>
          <w:noProof/>
          <w:sz w:val="24"/>
          <w:szCs w:val="24"/>
        </w:rPr>
        <w:t>[</w:t>
      </w:r>
      <w:hyperlink w:anchor="_ENREF_3" w:tooltip="Brix, 2001 #1155" w:history="1">
        <w:r w:rsidR="00412F76" w:rsidRPr="00234552">
          <w:rPr>
            <w:rStyle w:val="Emphasis"/>
            <w:rFonts w:ascii="Times New Roman" w:hAnsi="Times New Roman"/>
            <w:i w:val="0"/>
            <w:noProof/>
            <w:sz w:val="24"/>
            <w:szCs w:val="24"/>
          </w:rPr>
          <w:t>3</w:t>
        </w:r>
      </w:hyperlink>
      <w:r w:rsidR="00F8213A" w:rsidRPr="00234552">
        <w:rPr>
          <w:rStyle w:val="Emphasis"/>
          <w:rFonts w:ascii="Times New Roman" w:hAnsi="Times New Roman"/>
          <w:i w:val="0"/>
          <w:noProof/>
          <w:sz w:val="24"/>
          <w:szCs w:val="24"/>
        </w:rPr>
        <w:t>]</w:t>
      </w:r>
      <w:r w:rsidR="00BF493D" w:rsidRPr="00234552">
        <w:rPr>
          <w:rStyle w:val="Emphasis"/>
          <w:rFonts w:ascii="Times New Roman" w:hAnsi="Times New Roman"/>
          <w:i w:val="0"/>
          <w:sz w:val="24"/>
          <w:szCs w:val="24"/>
        </w:rPr>
        <w:fldChar w:fldCharType="end"/>
      </w:r>
      <w:r w:rsidRPr="00234552">
        <w:rPr>
          <w:rFonts w:ascii="Times New Roman" w:eastAsia="Times New Roman" w:hAnsi="Times New Roman"/>
          <w:sz w:val="24"/>
          <w:szCs w:val="24"/>
        </w:rPr>
        <w:t>.</w:t>
      </w:r>
      <w:hyperlink r:id="rId9" w:history="1">
        <w:r w:rsidRPr="00234552">
          <w:rPr>
            <w:rFonts w:ascii="Times New Roman" w:eastAsia="Times New Roman" w:hAnsi="Times New Roman"/>
            <w:sz w:val="24"/>
            <w:szCs w:val="24"/>
            <w:vertAlign w:val="superscript"/>
          </w:rPr>
          <w:t xml:space="preserve"> </w:t>
        </w:r>
      </w:hyperlink>
    </w:p>
    <w:p w:rsidR="00F11ED9" w:rsidRPr="00234552" w:rsidRDefault="00253F6E" w:rsidP="007C489A">
      <w:pPr>
        <w:pStyle w:val="Default"/>
        <w:spacing w:line="480" w:lineRule="auto"/>
        <w:jc w:val="both"/>
        <w:rPr>
          <w:rStyle w:val="Emphasis"/>
          <w:i w:val="0"/>
          <w:iCs w:val="0"/>
          <w:color w:val="auto"/>
        </w:rPr>
      </w:pPr>
      <w:r w:rsidRPr="00234552">
        <w:rPr>
          <w:color w:val="auto"/>
        </w:rPr>
        <w:t xml:space="preserve">The signs and symptoms of </w:t>
      </w:r>
      <w:r w:rsidRPr="00234552">
        <w:rPr>
          <w:color w:val="auto"/>
          <w:u w:color="FA5050"/>
        </w:rPr>
        <w:t xml:space="preserve">Graves </w:t>
      </w:r>
      <w:r w:rsidRPr="00234552">
        <w:rPr>
          <w:color w:val="auto"/>
        </w:rPr>
        <w:t xml:space="preserve">disease virtually all result from the direct and indirect effects of hyperthyroidism, with </w:t>
      </w:r>
      <w:r w:rsidRPr="00234552">
        <w:rPr>
          <w:color w:val="auto"/>
          <w:u w:color="FA5050"/>
        </w:rPr>
        <w:t>the main</w:t>
      </w:r>
      <w:r w:rsidRPr="00234552">
        <w:rPr>
          <w:color w:val="auto"/>
        </w:rPr>
        <w:t xml:space="preserve"> exceptions being Graves ophthalmopathy, </w:t>
      </w:r>
      <w:r w:rsidRPr="00A34730">
        <w:rPr>
          <w:noProof/>
          <w:color w:val="auto"/>
        </w:rPr>
        <w:t>goit</w:t>
      </w:r>
      <w:r w:rsidR="00A34730">
        <w:rPr>
          <w:noProof/>
          <w:color w:val="auto"/>
        </w:rPr>
        <w:t>er</w:t>
      </w:r>
      <w:r w:rsidRPr="00234552">
        <w:rPr>
          <w:color w:val="auto"/>
        </w:rPr>
        <w:t xml:space="preserve"> and </w:t>
      </w:r>
      <w:r w:rsidRPr="00234552">
        <w:rPr>
          <w:color w:val="auto"/>
          <w:u w:color="FA5050"/>
        </w:rPr>
        <w:t>proverbial</w:t>
      </w:r>
      <w:r w:rsidRPr="00234552">
        <w:rPr>
          <w:color w:val="auto"/>
        </w:rPr>
        <w:t xml:space="preserve"> myxedema. Symptoms of the resultant hyperthyroidism are mainly insomnia, hand tremor, hyperactivity, hair loss, excessive sweating, shaking hands, itching, heat intolerance, weight loss despite increased appetite, diarrhea, frequent defecation, palpitations, muscle weakness and skin warmth and moistness </w:t>
      </w:r>
      <w:r w:rsidR="00BF493D" w:rsidRPr="00234552">
        <w:rPr>
          <w:color w:val="auto"/>
        </w:rPr>
        <w:fldChar w:fldCharType="begin"/>
      </w:r>
      <w:r w:rsidR="00F8213A" w:rsidRPr="00234552">
        <w:rPr>
          <w:color w:val="auto"/>
        </w:rPr>
        <w:instrText xml:space="preserve"> ADDIN EN.CITE &lt;EndNote&gt;&lt;Cite&gt;&lt;Author&gt;Brent&lt;/Author&gt;&lt;Year&gt;2008&lt;/Year&gt;&lt;RecNum&gt;1156&lt;/RecNum&gt;&lt;DisplayText&gt;[4]&lt;/DisplayText&gt;&lt;record&gt;&lt;rec-number&gt;1156&lt;/rec-number&gt;&lt;foreign-keys&gt;&lt;key app="EN" db-id="5t9a0wevofsa0aersrpp9efbdaztxs2a2ze2" timestamp="1532549495"&gt;1156&lt;/key&gt;&lt;/foreign-keys&gt;&lt;ref-type name="Journal Article"&gt;17&lt;/ref-type&gt;&lt;contributors&gt;&lt;authors&gt;&lt;author&gt;Brent, Gregory A&lt;/author&gt;&lt;/authors&gt;&lt;/contributors&gt;&lt;titles&gt;&lt;title&gt;Graves&amp;apos; disease&lt;/title&gt;&lt;secondary-title&gt;New England Journal of Medicine&lt;/secondary-title&gt;&lt;/titles&gt;&lt;periodical&gt;&lt;full-title&gt;New England Journal of Medicine&lt;/full-title&gt;&lt;/periodical&gt;&lt;pages&gt;2594-2605&lt;/pages&gt;&lt;volume&gt;358&lt;/volume&gt;&lt;number&gt;24&lt;/number&gt;&lt;dates&gt;&lt;year&gt;2008&lt;/year&gt;&lt;/dates&gt;&lt;isbn&gt;0028-4793&lt;/isbn&gt;&lt;urls&gt;&lt;/urls&gt;&lt;/record&gt;&lt;/Cite&gt;&lt;/EndNote&gt;</w:instrText>
      </w:r>
      <w:r w:rsidR="00BF493D" w:rsidRPr="00234552">
        <w:rPr>
          <w:color w:val="auto"/>
        </w:rPr>
        <w:fldChar w:fldCharType="separate"/>
      </w:r>
      <w:r w:rsidR="00F8213A" w:rsidRPr="00234552">
        <w:rPr>
          <w:noProof/>
          <w:color w:val="auto"/>
        </w:rPr>
        <w:t>[</w:t>
      </w:r>
      <w:hyperlink w:anchor="_ENREF_4" w:tooltip="Brent, 2008 #1156" w:history="1">
        <w:r w:rsidR="00412F76" w:rsidRPr="00234552">
          <w:rPr>
            <w:noProof/>
            <w:color w:val="auto"/>
          </w:rPr>
          <w:t>4</w:t>
        </w:r>
      </w:hyperlink>
      <w:r w:rsidR="00F8213A" w:rsidRPr="00234552">
        <w:rPr>
          <w:noProof/>
          <w:color w:val="auto"/>
        </w:rPr>
        <w:t>]</w:t>
      </w:r>
      <w:r w:rsidR="00BF493D" w:rsidRPr="00234552">
        <w:rPr>
          <w:color w:val="auto"/>
        </w:rPr>
        <w:fldChar w:fldCharType="end"/>
      </w:r>
      <w:r w:rsidRPr="00234552">
        <w:rPr>
          <w:color w:val="auto"/>
        </w:rPr>
        <w:t xml:space="preserve">. Further signs that may be seen on physical examination are most commonly a diffusely enlarged (usually symmetric), </w:t>
      </w:r>
      <w:r w:rsidRPr="00234552">
        <w:rPr>
          <w:color w:val="auto"/>
          <w:u w:color="FA5050"/>
        </w:rPr>
        <w:t>contender</w:t>
      </w:r>
      <w:r w:rsidRPr="00234552">
        <w:rPr>
          <w:color w:val="auto"/>
        </w:rPr>
        <w:t xml:space="preserve"> thyroid, lid lag, excessive lacrimation due to Graves ophthalmopathy, arrhythmias of the heart, such as sinus tachycardia, atrial fibrillation and premature ventricular</w:t>
      </w:r>
      <w:r w:rsidR="00F8213A" w:rsidRPr="00234552">
        <w:rPr>
          <w:color w:val="auto"/>
        </w:rPr>
        <w:t xml:space="preserve"> contractions and hypertension </w:t>
      </w:r>
      <w:r w:rsidR="00BF493D" w:rsidRPr="00234552">
        <w:rPr>
          <w:color w:val="auto"/>
        </w:rPr>
        <w:fldChar w:fldCharType="begin"/>
      </w:r>
      <w:r w:rsidR="00F8213A" w:rsidRPr="00234552">
        <w:rPr>
          <w:color w:val="auto"/>
        </w:rPr>
        <w:instrText xml:space="preserve"> ADDIN EN.CITE &lt;EndNote&gt;&lt;Cite&gt;&lt;Author&gt;Agabegi&lt;/Author&gt;&lt;Year&gt;2008&lt;/Year&gt;&lt;RecNum&gt;1157&lt;/RecNum&gt;&lt;DisplayText&gt;[5]&lt;/DisplayText&gt;&lt;record&gt;&lt;rec-number&gt;1157&lt;/rec-number&gt;&lt;foreign-keys&gt;&lt;key app="EN" db-id="5t9a0wevofsa0aersrpp9efbdaztxs2a2ze2" timestamp="1532549689"&gt;1157&lt;/key&gt;&lt;/foreign-keys&gt;&lt;ref-type name="Generic"&gt;13&lt;/ref-type&gt;&lt;contributors&gt;&lt;authors&gt;&lt;author&gt;Agabegi, Steven S&lt;/author&gt;&lt;author&gt;Agabegi, E&lt;/author&gt;&lt;/authors&gt;&lt;/contributors&gt;&lt;titles&gt;&lt;title&gt;Step-Up to Medicine (Step-Up Series), Hagerstown, MD&lt;/title&gt;&lt;/titles&gt;&lt;dates&gt;&lt;year&gt;2008&lt;/year&gt;&lt;/dates&gt;&lt;publisher&gt;Lippincott, Williams &amp;amp; Wilkins&lt;/publisher&gt;&lt;urls&gt;&lt;/urls&gt;&lt;/record&gt;&lt;/Cite&gt;&lt;/EndNote&gt;</w:instrText>
      </w:r>
      <w:r w:rsidR="00BF493D" w:rsidRPr="00234552">
        <w:rPr>
          <w:color w:val="auto"/>
        </w:rPr>
        <w:fldChar w:fldCharType="separate"/>
      </w:r>
      <w:r w:rsidR="00F8213A" w:rsidRPr="00234552">
        <w:rPr>
          <w:noProof/>
          <w:color w:val="auto"/>
        </w:rPr>
        <w:t>[</w:t>
      </w:r>
      <w:hyperlink w:anchor="_ENREF_5" w:tooltip="Agabegi, 2008 #1157" w:history="1">
        <w:r w:rsidR="00412F76" w:rsidRPr="00234552">
          <w:rPr>
            <w:noProof/>
            <w:color w:val="auto"/>
          </w:rPr>
          <w:t>5</w:t>
        </w:r>
      </w:hyperlink>
      <w:r w:rsidR="00F8213A" w:rsidRPr="00234552">
        <w:rPr>
          <w:noProof/>
          <w:color w:val="auto"/>
        </w:rPr>
        <w:t>]</w:t>
      </w:r>
      <w:r w:rsidR="00BF493D" w:rsidRPr="00234552">
        <w:rPr>
          <w:color w:val="auto"/>
        </w:rPr>
        <w:fldChar w:fldCharType="end"/>
      </w:r>
      <w:r w:rsidRPr="00234552">
        <w:rPr>
          <w:color w:val="auto"/>
        </w:rPr>
        <w:t>.</w:t>
      </w:r>
      <w:r w:rsidRPr="00234552">
        <w:rPr>
          <w:color w:val="auto"/>
          <w:vertAlign w:val="superscript"/>
        </w:rPr>
        <w:t xml:space="preserve"> </w:t>
      </w:r>
      <w:r w:rsidRPr="00234552">
        <w:rPr>
          <w:color w:val="auto"/>
        </w:rPr>
        <w:t xml:space="preserve">People with hyperthyroidism may experience behavioral and personality changes including: psychosis, mania, anxiety, </w:t>
      </w:r>
      <w:r w:rsidRPr="00234552">
        <w:rPr>
          <w:color w:val="auto"/>
          <w:u w:color="FA5050"/>
        </w:rPr>
        <w:t xml:space="preserve">agitation </w:t>
      </w:r>
      <w:r w:rsidRPr="00234552">
        <w:rPr>
          <w:color w:val="auto"/>
        </w:rPr>
        <w:t xml:space="preserve">and </w:t>
      </w:r>
      <w:r w:rsidRPr="00234552">
        <w:rPr>
          <w:color w:val="auto"/>
          <w:u w:color="FA5050"/>
        </w:rPr>
        <w:t xml:space="preserve">depression </w:t>
      </w:r>
      <w:r w:rsidR="00BF493D" w:rsidRPr="00234552">
        <w:rPr>
          <w:color w:val="auto"/>
        </w:rPr>
        <w:fldChar w:fldCharType="begin"/>
      </w:r>
      <w:r w:rsidR="00EC5EC3" w:rsidRPr="00234552">
        <w:rPr>
          <w:color w:val="auto"/>
        </w:rPr>
        <w:instrText xml:space="preserve"> ADDIN EN.CITE &lt;EndNote&gt;&lt;Cite&gt;&lt;Author&gt;Bunevicius&lt;/Author&gt;&lt;Year&gt;2006&lt;/Year&gt;&lt;RecNum&gt;1158&lt;/RecNum&gt;&lt;DisplayText&gt;[6]&lt;/DisplayText&gt;&lt;record&gt;&lt;rec-number&gt;1158&lt;/rec-number&gt;&lt;foreign-keys&gt;&lt;key app="EN" db-id="5t9a0wevofsa0aersrpp9efbdaztxs2a2ze2" timestamp="1532549735"&gt;1158&lt;/key&gt;&lt;/foreign-keys&gt;&lt;ref-type name="Journal Article"&gt;17&lt;/ref-type&gt;&lt;contributors&gt;&lt;authors&gt;&lt;author&gt;Bunevicius, Robertas&lt;/author&gt;&lt;author&gt;Prange, Arthur J&lt;/author&gt;&lt;/authors&gt;&lt;/contributors&gt;&lt;titles&gt;&lt;title&gt;Psychiatric manifestations of Graves’ hyperthyroidism&lt;/title&gt;&lt;secondary-title&gt;CNS drugs&lt;/secondary-title&gt;&lt;/titles&gt;&lt;periodical&gt;&lt;full-title&gt;CNS drugs&lt;/full-title&gt;&lt;/periodical&gt;&lt;pages&gt;897-909&lt;/pages&gt;&lt;volume&gt;20&lt;/volume&gt;&lt;number&gt;11&lt;/number&gt;&lt;dates&gt;&lt;year&gt;2006&lt;/year&gt;&lt;/dates&gt;&lt;isbn&gt;1172-7047&lt;/isbn&gt;&lt;urls&gt;&lt;/urls&gt;&lt;/record&gt;&lt;/Cite&gt;&lt;/EndNote&gt;</w:instrText>
      </w:r>
      <w:r w:rsidR="00BF493D" w:rsidRPr="00234552">
        <w:rPr>
          <w:color w:val="auto"/>
        </w:rPr>
        <w:fldChar w:fldCharType="separate"/>
      </w:r>
      <w:r w:rsidR="00EC5EC3" w:rsidRPr="00234552">
        <w:rPr>
          <w:noProof/>
          <w:color w:val="auto"/>
        </w:rPr>
        <w:t>[</w:t>
      </w:r>
      <w:hyperlink w:anchor="_ENREF_6" w:tooltip="Bunevicius, 2006 #1158" w:history="1">
        <w:r w:rsidR="00412F76" w:rsidRPr="00234552">
          <w:rPr>
            <w:noProof/>
            <w:color w:val="auto"/>
          </w:rPr>
          <w:t>6</w:t>
        </w:r>
      </w:hyperlink>
      <w:r w:rsidR="00EC5EC3" w:rsidRPr="00234552">
        <w:rPr>
          <w:noProof/>
          <w:color w:val="auto"/>
        </w:rPr>
        <w:t>]</w:t>
      </w:r>
      <w:r w:rsidR="00BF493D" w:rsidRPr="00234552">
        <w:rPr>
          <w:color w:val="auto"/>
        </w:rPr>
        <w:fldChar w:fldCharType="end"/>
      </w:r>
      <w:r w:rsidRPr="00234552">
        <w:rPr>
          <w:color w:val="auto"/>
        </w:rPr>
        <w:t>.</w:t>
      </w:r>
      <w:r w:rsidR="00EC5EC3" w:rsidRPr="00234552">
        <w:rPr>
          <w:color w:val="auto"/>
        </w:rPr>
        <w:t xml:space="preserve"> </w:t>
      </w:r>
      <w:r w:rsidRPr="00234552">
        <w:rPr>
          <w:rFonts w:eastAsia="Times New Roman"/>
          <w:color w:val="auto"/>
        </w:rPr>
        <w:t xml:space="preserve">Since Graves disease is an autoimmune disease which appears suddenly, often quite late in life, a </w:t>
      </w:r>
      <w:hyperlink r:id="rId10" w:tooltip="Virus" w:history="1">
        <w:r w:rsidRPr="00234552">
          <w:rPr>
            <w:rFonts w:eastAsia="Times New Roman"/>
            <w:color w:val="auto"/>
          </w:rPr>
          <w:t>viral</w:t>
        </w:r>
      </w:hyperlink>
      <w:r w:rsidRPr="00234552">
        <w:rPr>
          <w:rFonts w:eastAsia="Times New Roman"/>
          <w:color w:val="auto"/>
        </w:rPr>
        <w:t xml:space="preserve"> or </w:t>
      </w:r>
      <w:hyperlink r:id="rId11" w:tooltip="Bacteria" w:history="1">
        <w:r w:rsidRPr="00234552">
          <w:rPr>
            <w:rFonts w:eastAsia="Times New Roman"/>
            <w:color w:val="auto"/>
          </w:rPr>
          <w:t>bacterial</w:t>
        </w:r>
      </w:hyperlink>
      <w:r w:rsidRPr="00234552">
        <w:rPr>
          <w:rFonts w:eastAsia="Times New Roman"/>
          <w:color w:val="auto"/>
        </w:rPr>
        <w:t xml:space="preserve"> infection may trigger antibodies which cross-react with the human TSH receptor. One possible culprit is the bacterium </w:t>
      </w:r>
      <w:r w:rsidRPr="00A34730">
        <w:rPr>
          <w:rFonts w:eastAsia="Times New Roman"/>
          <w:i/>
          <w:iCs/>
          <w:color w:val="auto"/>
        </w:rPr>
        <w:t xml:space="preserve">Yersinia </w:t>
      </w:r>
      <w:r w:rsidRPr="00A34730">
        <w:rPr>
          <w:rFonts w:eastAsia="Times New Roman"/>
          <w:i/>
          <w:iCs/>
          <w:noProof/>
          <w:color w:val="auto"/>
        </w:rPr>
        <w:t>enterocolitica</w:t>
      </w:r>
      <w:r w:rsidRPr="00234552">
        <w:rPr>
          <w:rFonts w:eastAsia="Times New Roman"/>
          <w:color w:val="auto"/>
        </w:rPr>
        <w:t>.</w:t>
      </w:r>
      <w:r w:rsidRPr="00234552">
        <w:rPr>
          <w:rFonts w:eastAsia="Times New Roman"/>
          <w:i/>
          <w:color w:val="auto"/>
        </w:rPr>
        <w:t xml:space="preserve"> </w:t>
      </w:r>
      <w:r w:rsidRPr="00234552">
        <w:rPr>
          <w:rFonts w:eastAsia="Times New Roman"/>
          <w:color w:val="auto"/>
        </w:rPr>
        <w:t xml:space="preserve">Although indirect </w:t>
      </w:r>
      <w:r w:rsidRPr="00234552">
        <w:rPr>
          <w:rFonts w:eastAsia="Times New Roman"/>
          <w:color w:val="auto"/>
        </w:rPr>
        <w:lastRenderedPageBreak/>
        <w:t xml:space="preserve">evidence exists for the structural similarity between the bacteria and the human thyrotropin receptor, direct causative evidence is limited </w:t>
      </w:r>
      <w:r w:rsidR="00BF493D" w:rsidRPr="00234552">
        <w:rPr>
          <w:rFonts w:eastAsia="Times New Roman"/>
          <w:color w:val="auto"/>
        </w:rPr>
        <w:fldChar w:fldCharType="begin"/>
      </w:r>
      <w:r w:rsidR="00EC5EC3" w:rsidRPr="00234552">
        <w:rPr>
          <w:rFonts w:eastAsia="Times New Roman"/>
          <w:color w:val="auto"/>
        </w:rPr>
        <w:instrText xml:space="preserve"> ADDIN EN.CITE &lt;EndNote&gt;&lt;Cite&gt;&lt;Author&gt;Toivanen&lt;/Author&gt;&lt;Year&gt;1994&lt;/Year&gt;&lt;RecNum&gt;1159&lt;/RecNum&gt;&lt;DisplayText&gt;[7]&lt;/DisplayText&gt;&lt;record&gt;&lt;rec-number&gt;1159&lt;/rec-number&gt;&lt;foreign-keys&gt;&lt;key app="EN" db-id="5t9a0wevofsa0aersrpp9efbdaztxs2a2ze2" timestamp="1532549830"&gt;1159&lt;/key&gt;&lt;/foreign-keys&gt;&lt;ref-type name="Journal Article"&gt;17&lt;/ref-type&gt;&lt;contributors&gt;&lt;authors&gt;&lt;author&gt;Toivanen, Paavo&lt;/author&gt;&lt;author&gt;Toivanen, Auli&lt;/author&gt;&lt;/authors&gt;&lt;/contributors&gt;&lt;titles&gt;&lt;title&gt;Does Yersinia induce autoimmunity?&lt;/title&gt;&lt;secondary-title&gt;International archives of allergy and immunology&lt;/secondary-title&gt;&lt;/titles&gt;&lt;periodical&gt;&lt;full-title&gt;International archives of allergy and immunology&lt;/full-title&gt;&lt;/periodical&gt;&lt;pages&gt;107-111&lt;/pages&gt;&lt;volume&gt;104&lt;/volume&gt;&lt;number&gt;2&lt;/number&gt;&lt;dates&gt;&lt;year&gt;1994&lt;/year&gt;&lt;/dates&gt;&lt;isbn&gt;1018-2438&lt;/isbn&gt;&lt;urls&gt;&lt;/urls&gt;&lt;/record&gt;&lt;/Cite&gt;&lt;/EndNote&gt;</w:instrText>
      </w:r>
      <w:r w:rsidR="00BF493D" w:rsidRPr="00234552">
        <w:rPr>
          <w:rFonts w:eastAsia="Times New Roman"/>
          <w:color w:val="auto"/>
        </w:rPr>
        <w:fldChar w:fldCharType="separate"/>
      </w:r>
      <w:r w:rsidR="00EC5EC3" w:rsidRPr="00234552">
        <w:rPr>
          <w:rFonts w:eastAsia="Times New Roman"/>
          <w:noProof/>
          <w:color w:val="auto"/>
        </w:rPr>
        <w:t>[</w:t>
      </w:r>
      <w:hyperlink w:anchor="_ENREF_7" w:tooltip="Toivanen, 1994 #1159" w:history="1">
        <w:r w:rsidR="00412F76" w:rsidRPr="00234552">
          <w:rPr>
            <w:rFonts w:eastAsia="Times New Roman"/>
            <w:noProof/>
            <w:color w:val="auto"/>
          </w:rPr>
          <w:t>7</w:t>
        </w:r>
      </w:hyperlink>
      <w:r w:rsidR="00EC5EC3" w:rsidRPr="00234552">
        <w:rPr>
          <w:rFonts w:eastAsia="Times New Roman"/>
          <w:noProof/>
          <w:color w:val="auto"/>
        </w:rPr>
        <w:t>]</w:t>
      </w:r>
      <w:r w:rsidR="00BF493D" w:rsidRPr="00234552">
        <w:rPr>
          <w:rFonts w:eastAsia="Times New Roman"/>
          <w:color w:val="auto"/>
        </w:rPr>
        <w:fldChar w:fldCharType="end"/>
      </w:r>
      <w:r w:rsidRPr="00234552">
        <w:rPr>
          <w:rFonts w:eastAsia="Times New Roman"/>
          <w:color w:val="auto"/>
        </w:rPr>
        <w:t>.</w:t>
      </w:r>
      <w:r w:rsidR="00EC5EC3" w:rsidRPr="00234552">
        <w:rPr>
          <w:color w:val="auto"/>
        </w:rPr>
        <w:t xml:space="preserve">  It is a common practice in Nigeria and other parts of the world to use the plant in the form of crude extracts, decoction, infusion or tincture to treat common infection and chronic conditions</w:t>
      </w:r>
      <w:r w:rsidR="00BF493D" w:rsidRPr="00234552">
        <w:rPr>
          <w:color w:val="auto"/>
        </w:rPr>
        <w:fldChar w:fldCharType="begin"/>
      </w:r>
      <w:r w:rsidR="00EC5EC3" w:rsidRPr="00234552">
        <w:rPr>
          <w:color w:val="auto"/>
        </w:rPr>
        <w:instrText xml:space="preserve"> ADDIN EN.CITE &lt;EndNote&gt;&lt;Cite&gt;&lt;Author&gt;Tamizhazhagan&lt;/Author&gt;&lt;Year&gt;2017&lt;/Year&gt;&lt;RecNum&gt;1160&lt;/RecNum&gt;&lt;DisplayText&gt;[8]&lt;/DisplayText&gt;&lt;record&gt;&lt;rec-number&gt;1160&lt;/rec-number&gt;&lt;foreign-keys&gt;&lt;key app="EN" db-id="5t9a0wevofsa0aersrpp9efbdaztxs2a2ze2" timestamp="1532549932"&gt;1160&lt;/key&gt;&lt;/foreign-keys&gt;&lt;ref-type name="Journal Article"&gt;17&lt;/ref-type&gt;&lt;contributors&gt;&lt;authors&gt;&lt;author&gt;Tamizhazhagan, V&lt;/author&gt;&lt;author&gt;Pugazhendy, K&lt;/author&gt;&lt;author&gt;Sakthidasan, V&lt;/author&gt;&lt;author&gt;Jayanthi, C&lt;/author&gt;&lt;/authors&gt;&lt;/contributors&gt;&lt;titles&gt;&lt;title&gt;Preliminary screening of phytochemical evaluation selected plant of Pisonia alba&lt;/title&gt;&lt;secondary-title&gt;IJ Biol. Research&lt;/secondary-title&gt;&lt;/titles&gt;&lt;periodical&gt;&lt;full-title&gt;IJ Biol. Research&lt;/full-title&gt;&lt;/periodical&gt;&lt;pages&gt;63-66&lt;/pages&gt;&lt;volume&gt;2&lt;/volume&gt;&lt;number&gt;4&lt;/number&gt;&lt;dates&gt;&lt;year&gt;2017&lt;/year&gt;&lt;/dates&gt;&lt;urls&gt;&lt;/urls&gt;&lt;/record&gt;&lt;/Cite&gt;&lt;/EndNote&gt;</w:instrText>
      </w:r>
      <w:r w:rsidR="00BF493D" w:rsidRPr="00234552">
        <w:rPr>
          <w:color w:val="auto"/>
        </w:rPr>
        <w:fldChar w:fldCharType="separate"/>
      </w:r>
      <w:r w:rsidR="00EC5EC3" w:rsidRPr="00234552">
        <w:rPr>
          <w:noProof/>
          <w:color w:val="auto"/>
        </w:rPr>
        <w:t>[</w:t>
      </w:r>
      <w:hyperlink w:anchor="_ENREF_8" w:tooltip="Tamizhazhagan, 2017 #1160" w:history="1">
        <w:r w:rsidR="00412F76" w:rsidRPr="00234552">
          <w:rPr>
            <w:noProof/>
            <w:color w:val="auto"/>
          </w:rPr>
          <w:t>8</w:t>
        </w:r>
      </w:hyperlink>
      <w:r w:rsidR="00EC5EC3" w:rsidRPr="00234552">
        <w:rPr>
          <w:noProof/>
          <w:color w:val="auto"/>
        </w:rPr>
        <w:t>]</w:t>
      </w:r>
      <w:r w:rsidR="00BF493D" w:rsidRPr="00234552">
        <w:rPr>
          <w:color w:val="auto"/>
        </w:rPr>
        <w:fldChar w:fldCharType="end"/>
      </w:r>
      <w:r w:rsidR="00EC5EC3" w:rsidRPr="00234552">
        <w:rPr>
          <w:color w:val="auto"/>
        </w:rPr>
        <w:t>.</w:t>
      </w:r>
    </w:p>
    <w:p w:rsidR="00F11ED9" w:rsidRPr="00234552" w:rsidRDefault="00253F6E" w:rsidP="007C489A">
      <w:pPr>
        <w:spacing w:before="100" w:beforeAutospacing="1" w:after="100" w:afterAutospacing="1" w:line="480" w:lineRule="auto"/>
        <w:ind w:firstLine="720"/>
        <w:jc w:val="both"/>
        <w:rPr>
          <w:rFonts w:ascii="Times New Roman" w:eastAsia="Times New Roman" w:hAnsi="Times New Roman"/>
          <w:b/>
          <w:sz w:val="24"/>
          <w:szCs w:val="24"/>
        </w:rPr>
      </w:pPr>
      <w:r w:rsidRPr="00234552">
        <w:rPr>
          <w:rFonts w:ascii="Times New Roman" w:eastAsia="Times New Roman" w:hAnsi="Times New Roman"/>
          <w:iCs/>
          <w:sz w:val="24"/>
          <w:szCs w:val="24"/>
        </w:rPr>
        <w:t>Yersinia</w:t>
      </w:r>
      <w:r w:rsidRPr="00234552">
        <w:rPr>
          <w:rFonts w:ascii="Times New Roman" w:eastAsia="Times New Roman" w:hAnsi="Times New Roman"/>
          <w:i/>
          <w:sz w:val="24"/>
          <w:szCs w:val="24"/>
        </w:rPr>
        <w:t xml:space="preserve"> </w:t>
      </w:r>
      <w:r w:rsidRPr="00234552">
        <w:rPr>
          <w:rFonts w:ascii="Times New Roman" w:eastAsia="Times New Roman" w:hAnsi="Times New Roman"/>
          <w:sz w:val="24"/>
          <w:szCs w:val="24"/>
        </w:rPr>
        <w:t xml:space="preserve">seems not to be a major cause of this disease, although it may contribute to the development of thyroid autoimmunity arising for other reasons in genetically susceptible individuals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&lt;EndNote&gt;&lt;Cite&gt;&lt;Author&gt;Strieder&lt;/Author&gt;&lt;Year&gt;2003&lt;/Year&gt;&lt;RecNum&gt;1162&lt;/RecNum&gt;&lt;DisplayText&gt;[9]&lt;/DisplayText&gt;&lt;record&gt;&lt;rec-number&gt;1162&lt;/rec-number&gt;&lt;foreign-keys&gt;&lt;key app="EN" db-id="5t9a0wevofsa0aersrpp9efbdaztxs2a2ze2" timestamp="1532549987"&gt;1162&lt;/key&gt;&lt;/foreign-keys&gt;&lt;ref-type name="Journal Article"&gt;17&lt;/ref-type&gt;&lt;contributors&gt;&lt;authors&gt;&lt;author&gt;Strieder, Thea GA&lt;/author&gt;&lt;author&gt;Wenzel, Björn E&lt;/author&gt;&lt;author&gt;Prummel, Mark F&lt;/author&gt;&lt;author&gt;Tijssen, Jan GP&lt;/author&gt;&lt;author&gt;Wiersinga, WM&lt;/author&gt;&lt;/authors&gt;&lt;/contributors&gt;&lt;titles&gt;&lt;title&gt;Increased prevalence of antibodies to enteropathogenic Yersinia enterocolitica virulence proteins in relatives of patients with autoimmune thyroid disease&lt;/title&gt;&lt;secondary-title&gt;Clinical &amp;amp; Experimental Immunology&lt;/secondary-title&gt;&lt;/titles&gt;&lt;periodical&gt;&lt;full-title&gt;Clinical &amp;amp; Experimental Immunology&lt;/full-title&gt;&lt;/periodical&gt;&lt;pages&gt;278-282&lt;/pages&gt;&lt;volume&gt;132&lt;/volume&gt;&lt;number&gt;2&lt;/number&gt;&lt;dates&gt;&lt;year&gt;2003&lt;/year&gt;&lt;/dates&gt;&lt;isbn&gt;0009-9104&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9" w:tooltip="Strieder, 2003 #1162" w:history="1">
        <w:r w:rsidR="00412F76" w:rsidRPr="00234552">
          <w:rPr>
            <w:rFonts w:ascii="Times New Roman" w:eastAsia="Times New Roman" w:hAnsi="Times New Roman"/>
            <w:noProof/>
            <w:sz w:val="24"/>
            <w:szCs w:val="24"/>
          </w:rPr>
          <w:t>9</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 xml:space="preserve">. It has also been suggested that </w:t>
      </w:r>
      <w:r w:rsidRPr="00234552">
        <w:rPr>
          <w:rFonts w:ascii="Times New Roman" w:eastAsia="Times New Roman" w:hAnsi="Times New Roman"/>
          <w:i/>
          <w:iCs/>
          <w:sz w:val="24"/>
          <w:szCs w:val="24"/>
        </w:rPr>
        <w:t xml:space="preserve">Yersinia </w:t>
      </w:r>
      <w:r w:rsidRPr="00A34730">
        <w:rPr>
          <w:rFonts w:ascii="Times New Roman" w:eastAsia="Times New Roman" w:hAnsi="Times New Roman"/>
          <w:i/>
          <w:iCs/>
          <w:noProof/>
          <w:sz w:val="24"/>
          <w:szCs w:val="24"/>
        </w:rPr>
        <w:t>enterocolitica</w:t>
      </w:r>
      <w:r w:rsidRPr="00234552">
        <w:rPr>
          <w:rFonts w:ascii="Times New Roman" w:eastAsia="Times New Roman" w:hAnsi="Times New Roman"/>
          <w:sz w:val="24"/>
          <w:szCs w:val="24"/>
        </w:rPr>
        <w:t xml:space="preserve"> infection is not the cause of auto-immune thyroid disease, but rather is only an associated condition; with both having a shared inherited susceptibility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&lt;EndNote&gt;&lt;Cite&gt;&lt;Author&gt;Santiago&lt;/Author&gt;&lt;Year&gt;2010&lt;/Year&gt;&lt;RecNum&gt;1163&lt;/RecNum&gt;&lt;DisplayText&gt;[10]&lt;/DisplayText&gt;&lt;record&gt;&lt;rec-number&gt;1163&lt;/rec-number&gt;&lt;foreign-keys&gt;&lt;key app="EN" db-id="5t9a0wevofsa0aersrpp9efbdaztxs2a2ze2" timestamp="1532550040"&gt;1163&lt;/key&gt;&lt;/foreign-keys&gt;&lt;ref-type name="Journal Article"&gt;17&lt;/ref-type&gt;&lt;contributors&gt;&lt;authors&gt;&lt;author&gt;Santiago, Teresa&lt;/author&gt;&lt;author&gt;Kulemzin, Sergei V&lt;/author&gt;&lt;author&gt;Reshetnikova, Evdokia S&lt;/author&gt;&lt;author&gt;Chikaev, Nikolai A&lt;/author&gt;&lt;author&gt;Volkova, Olga Y&lt;/author&gt;&lt;author&gt;Mechetina, Ludmila V&lt;/author&gt;&lt;author&gt;Zhao, Meina&lt;/author&gt;&lt;author&gt;Davis, Randall S&lt;/author&gt;&lt;author&gt;Taranin, Alexander V&lt;/author&gt;&lt;author&gt;Najakshin, Alexander M&lt;/author&gt;&lt;/authors&gt;&lt;/contributors&gt;&lt;titles&gt;&lt;title&gt;FCRLA is a resident endoplasmic reticulum protein that associates with intracellular Igs, IgM, IgG and IgA&lt;/title&gt;&lt;secondary-title&gt;International immunology&lt;/secondary-title&gt;&lt;/titles&gt;&lt;periodical&gt;&lt;full-title&gt;International immunology&lt;/full-title&gt;&lt;/periodical&gt;&lt;pages&gt;43-53&lt;/pages&gt;&lt;volume&gt;23&lt;/volume&gt;&lt;number&gt;1&lt;/number&gt;&lt;dates&gt;&lt;year&gt;2010&lt;/year&gt;&lt;/dates&gt;&lt;isbn&gt;1460-2377&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0" w:tooltip="Santiago, 2010 #1163" w:history="1">
        <w:r w:rsidR="00412F76" w:rsidRPr="00234552">
          <w:rPr>
            <w:rFonts w:ascii="Times New Roman" w:eastAsia="Times New Roman" w:hAnsi="Times New Roman"/>
            <w:noProof/>
            <w:sz w:val="24"/>
            <w:szCs w:val="24"/>
          </w:rPr>
          <w:t>10</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 xml:space="preserve">. More </w:t>
      </w:r>
      <w:r w:rsidRPr="00234552">
        <w:rPr>
          <w:rFonts w:ascii="Times New Roman" w:eastAsia="Times New Roman" w:hAnsi="Times New Roman"/>
          <w:sz w:val="24"/>
          <w:szCs w:val="24"/>
          <w:u w:color="FA5050"/>
        </w:rPr>
        <w:t>recently,</w:t>
      </w:r>
      <w:r w:rsidRPr="00234552">
        <w:rPr>
          <w:rFonts w:ascii="Times New Roman" w:eastAsia="Times New Roman" w:hAnsi="Times New Roman"/>
          <w:sz w:val="24"/>
          <w:szCs w:val="24"/>
        </w:rPr>
        <w:t xml:space="preserve"> the role for </w:t>
      </w:r>
      <w:r w:rsidRPr="00234552">
        <w:rPr>
          <w:rFonts w:ascii="Times New Roman" w:eastAsia="Times New Roman" w:hAnsi="Times New Roman"/>
          <w:iCs/>
          <w:sz w:val="24"/>
          <w:szCs w:val="24"/>
        </w:rPr>
        <w:t xml:space="preserve">Yersinia </w:t>
      </w:r>
      <w:r w:rsidRPr="00A34730">
        <w:rPr>
          <w:rFonts w:ascii="Times New Roman" w:eastAsia="Times New Roman" w:hAnsi="Times New Roman"/>
          <w:iCs/>
          <w:noProof/>
          <w:sz w:val="24"/>
          <w:szCs w:val="24"/>
        </w:rPr>
        <w:t>enterocolitica</w:t>
      </w:r>
      <w:r w:rsidRPr="00234552">
        <w:rPr>
          <w:rFonts w:ascii="Times New Roman" w:eastAsia="Times New Roman" w:hAnsi="Times New Roman"/>
          <w:sz w:val="24"/>
          <w:szCs w:val="24"/>
        </w:rPr>
        <w:t xml:space="preserve"> has been disputed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&lt;EndNote&gt;&lt;Cite&gt;&lt;Author&gt;Hansen&lt;/Author&gt;&lt;Year&gt;2006&lt;/Year&gt;&lt;RecNum&gt;1164&lt;/RecNum&gt;&lt;DisplayText&gt;[11]&lt;/DisplayText&gt;&lt;record&gt;&lt;rec-number&gt;1164&lt;/rec-number&gt;&lt;foreign-keys&gt;&lt;key app="EN" db-id="5t9a0wevofsa0aersrpp9efbdaztxs2a2ze2" timestamp="1532550085"&gt;1164&lt;/key&gt;&lt;/foreign-keys&gt;&lt;ref-type name="Journal Article"&gt;17&lt;/ref-type&gt;&lt;contributors&gt;&lt;authors&gt;&lt;author&gt;Hansen, Pia Skov&lt;/author&gt;&lt;author&gt;Wenzel, Bjørn E&lt;/author&gt;&lt;author&gt;Brix, Thomas Heiberg&lt;/author&gt;&lt;author&gt;Hegedüs, Laszlo&lt;/author&gt;&lt;/authors&gt;&lt;/contributors&gt;&lt;titles&gt;&lt;title&gt;Yersinia enterocolitica infection does not confer an increased risk of thyroid antibodies: evidence from a Danish twin study&lt;/title&gt;&lt;secondary-title&gt;Clinical &amp;amp; Experimental Immunology&lt;/secondary-title&gt;&lt;/titles&gt;&lt;periodical&gt;&lt;full-title&gt;Clinical &amp;amp; Experimental Immunology&lt;/full-title&gt;&lt;/periodical&gt;&lt;pages&gt;32-38&lt;/pages&gt;&lt;volume&gt;146&lt;/volume&gt;&lt;number&gt;1&lt;/number&gt;&lt;dates&gt;&lt;year&gt;2006&lt;/year&gt;&lt;/dates&gt;&lt;isbn&gt;0009-9104&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1" w:tooltip="Hansen, 2006 #1164" w:history="1">
        <w:r w:rsidR="00412F76" w:rsidRPr="00234552">
          <w:rPr>
            <w:rFonts w:ascii="Times New Roman" w:eastAsia="Times New Roman" w:hAnsi="Times New Roman"/>
            <w:noProof/>
            <w:sz w:val="24"/>
            <w:szCs w:val="24"/>
          </w:rPr>
          <w:t>11</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w:t>
      </w:r>
      <w:r w:rsidRPr="00234552">
        <w:rPr>
          <w:rFonts w:ascii="Times New Roman" w:eastAsia="Times New Roman" w:hAnsi="Times New Roman"/>
          <w:b/>
          <w:sz w:val="24"/>
          <w:szCs w:val="24"/>
        </w:rPr>
        <w:t xml:space="preserve"> </w:t>
      </w:r>
      <w:r w:rsidRPr="00234552">
        <w:rPr>
          <w:rFonts w:ascii="Times New Roman" w:eastAsia="Times New Roman" w:hAnsi="Times New Roman"/>
          <w:sz w:val="24"/>
          <w:szCs w:val="24"/>
        </w:rPr>
        <w:t xml:space="preserve">While theoretical mechanisms occur by which stress could cause an aggravation of the autoimmune response that leads to Graves disease, more robust clinical data are needed for a firm conclusion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&lt;EndNote&gt;&lt;Cite&gt;&lt;Author&gt;Falgarone&lt;/Author&gt;&lt;Year&gt;2012&lt;/Year&gt;&lt;RecNum&gt;1165&lt;/RecNum&gt;&lt;DisplayText&gt;[12]&lt;/DisplayText&gt;&lt;record&gt;&lt;rec-number&gt;1165&lt;/rec-number&gt;&lt;foreign-keys&gt;&lt;key app="EN" db-id="5t9a0wevofsa0aersrpp9efbdaztxs2a2ze2" timestamp="1532550128"&gt;1165&lt;/key&gt;&lt;/foreign-keys&gt;&lt;ref-type name="Journal Article"&gt;17&lt;/ref-type&gt;&lt;contributors&gt;&lt;authors&gt;&lt;author&gt;Falgarone, Géraldine&lt;/author&gt;&lt;author&gt;Heshmati, Hassan&lt;/author&gt;&lt;author&gt;Cohen, Régis&lt;/author&gt;&lt;author&gt;Reach, Gérard&lt;/author&gt;&lt;/authors&gt;&lt;/contributors&gt;&lt;titles&gt;&lt;title&gt;Role of emotional stress in the pathophysiology of Graves&amp;apos; disease&lt;/title&gt;&lt;secondary-title&gt;European Journal of Endocrinology&lt;/secondary-title&gt;&lt;/titles&gt;&lt;periodical&gt;&lt;full-title&gt;European Journal of Endocrinology&lt;/full-title&gt;&lt;/periodical&gt;&lt;pages&gt;EJE-12-0539&lt;/pages&gt;&lt;dates&gt;&lt;year&gt;2012&lt;/year&gt;&lt;/dates&gt;&lt;isbn&gt;0804-4643&lt;/isbn&gt;&lt;urls&gt;&lt;/urls&gt;&lt;/record&gt;&lt;/Cite&gt;&lt;/EndNote&gt;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2" w:tooltip="Falgarone, 2012 #1165" w:history="1">
        <w:r w:rsidR="00412F76" w:rsidRPr="00234552">
          <w:rPr>
            <w:rFonts w:ascii="Times New Roman" w:eastAsia="Times New Roman" w:hAnsi="Times New Roman"/>
            <w:noProof/>
            <w:sz w:val="24"/>
            <w:szCs w:val="24"/>
          </w:rPr>
          <w:t>12</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w:t>
      </w:r>
      <w:r w:rsidR="00EC5EC3" w:rsidRPr="00234552">
        <w:rPr>
          <w:rFonts w:ascii="Times New Roman" w:eastAsia="Times New Roman" w:hAnsi="Times New Roman"/>
          <w:b/>
          <w:sz w:val="24"/>
          <w:szCs w:val="24"/>
        </w:rPr>
        <w:t xml:space="preserve"> </w:t>
      </w:r>
      <w:r w:rsidRPr="00234552">
        <w:rPr>
          <w:rFonts w:ascii="Times New Roman" w:eastAsia="Times New Roman" w:hAnsi="Times New Roman"/>
          <w:sz w:val="24"/>
          <w:szCs w:val="24"/>
        </w:rPr>
        <w:t xml:space="preserve">Differentiating two common forms of hyperthyroidism such as </w:t>
      </w:r>
      <w:r w:rsidR="00EC5EC3" w:rsidRPr="00234552">
        <w:rPr>
          <w:rFonts w:ascii="Times New Roman" w:eastAsia="Times New Roman" w:hAnsi="Times New Roman"/>
          <w:sz w:val="24"/>
          <w:szCs w:val="24"/>
        </w:rPr>
        <w:t>Graves’s</w:t>
      </w:r>
      <w:r w:rsidRPr="00234552">
        <w:rPr>
          <w:rFonts w:ascii="Times New Roman" w:eastAsia="Times New Roman" w:hAnsi="Times New Roman"/>
          <w:sz w:val="24"/>
          <w:szCs w:val="24"/>
        </w:rPr>
        <w:t xml:space="preserve"> disease and toxic </w:t>
      </w:r>
      <w:r w:rsidRPr="00234552">
        <w:rPr>
          <w:rFonts w:ascii="Times New Roman" w:eastAsia="Times New Roman" w:hAnsi="Times New Roman"/>
          <w:sz w:val="24"/>
          <w:szCs w:val="24"/>
          <w:u w:color="FA5050"/>
        </w:rPr>
        <w:t>multinodular</w:t>
      </w:r>
      <w:r w:rsidRPr="00234552">
        <w:rPr>
          <w:rFonts w:ascii="Times New Roman" w:eastAsia="Times New Roman" w:hAnsi="Times New Roman"/>
          <w:sz w:val="24"/>
          <w:szCs w:val="24"/>
        </w:rPr>
        <w:t xml:space="preserve"> goiter is important to determine </w:t>
      </w:r>
      <w:r w:rsidRPr="00234552">
        <w:rPr>
          <w:rFonts w:ascii="Times New Roman" w:eastAsia="Times New Roman" w:hAnsi="Times New Roman"/>
          <w:sz w:val="24"/>
          <w:szCs w:val="24"/>
          <w:u w:color="FA5050"/>
        </w:rPr>
        <w:t>the proper</w:t>
      </w:r>
      <w:r w:rsidRPr="00234552">
        <w:rPr>
          <w:rFonts w:ascii="Times New Roman" w:eastAsia="Times New Roman" w:hAnsi="Times New Roman"/>
          <w:sz w:val="24"/>
          <w:szCs w:val="24"/>
        </w:rPr>
        <w:t xml:space="preserve"> treatment. Measuring TSH-receptor antibodies with the h-TBII assay has been proven efficient and was the most practical approach found in one study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&lt;EndNote&gt;&lt;Cite&gt;&lt;Author&gt;Tomer&lt;/Author&gt;&lt;Year&gt;1993&lt;/Year&gt;&lt;RecNum&gt;1166&lt;/RecNum&gt;&lt;DisplayText&gt;[13]&lt;/DisplayText&gt;&lt;record&gt;&lt;rec-number&gt;1166&lt;/rec-number&gt;&lt;foreign-keys&gt;&lt;key app="EN" db-id="5t9a0wevofsa0aersrpp9efbdaztxs2a2ze2" timestamp="1532550187"&gt;1166&lt;/key&gt;&lt;/foreign-keys&gt;&lt;ref-type name="Journal Article"&gt;17&lt;/ref-type&gt;&lt;contributors&gt;&lt;authors&gt;&lt;author&gt;Tomer, Yaron&lt;/author&gt;&lt;author&gt;Davies, Terry F&lt;/author&gt;&lt;/authors&gt;&lt;/contributors&gt;&lt;titles&gt;&lt;title&gt;Infection, thyroid disease, and autoimmunity&lt;/title&gt;&lt;secondary-title&gt;Endocrine Reviews&lt;/secondary-title&gt;&lt;/titles&gt;&lt;periodical&gt;&lt;full-title&gt;Endocrine Reviews&lt;/full-title&gt;&lt;/periodical&gt;&lt;pages&gt;107-120&lt;/pages&gt;&lt;volume&gt;14&lt;/volume&gt;&lt;number&gt;1&lt;/number&gt;&lt;dates&gt;&lt;year&gt;1993&lt;/year&gt;&lt;/dates&gt;&lt;isbn&gt;0163-769X&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3" w:tooltip="Tomer, 1993 #1166" w:history="1">
        <w:r w:rsidR="00412F76" w:rsidRPr="00234552">
          <w:rPr>
            <w:rFonts w:ascii="Times New Roman" w:eastAsia="Times New Roman" w:hAnsi="Times New Roman"/>
            <w:noProof/>
            <w:sz w:val="24"/>
            <w:szCs w:val="24"/>
          </w:rPr>
          <w:t>13</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 xml:space="preserve">. Fibroblasts in the orbital tissues may express the thyroid stimulating hormone receptor (TSHr). This may explain why one autoantibody to the TSHr can cause disease in both the thyroid and the eyes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&lt;EndNote&gt;&lt;Cite&gt;&lt;Author&gt;Michalaki&lt;/Author&gt;&lt;Year&gt;2006&lt;/Year&gt;&lt;RecNum&gt;1167&lt;/RecNum&gt;&lt;DisplayText&gt;[14]&lt;/DisplayText&gt;&lt;record&gt;&lt;rec-number&gt;1167&lt;/rec-number&gt;&lt;foreign-keys&gt;&lt;key app="EN" db-id="5t9a0wevofsa0aersrpp9efbdaztxs2a2ze2" timestamp="1532550244"&gt;1167&lt;/key&gt;&lt;/foreign-keys&gt;&lt;ref-type name="Journal Article"&gt;17&lt;/ref-type&gt;&lt;contributors&gt;&lt;authors&gt;&lt;author&gt;Michalaki, Marina A&lt;/author&gt;&lt;author&gt;Vagenakis, Apostolos G&lt;/author&gt;&lt;author&gt;Leonardou, Aggeliki S&lt;/author&gt;&lt;author&gt;Argentou, Marianna N&lt;/author&gt;&lt;author&gt;Habeos, Ioannis G&lt;/author&gt;&lt;author&gt;Makri, Maria G&lt;/author&gt;&lt;author&gt;Psyrogiannis, Agathoklis I&lt;/author&gt;&lt;author&gt;Kalfarentzos, Fotis E&lt;/author&gt;&lt;author&gt;Kyriazopoulou, Venetsana E&lt;/author&gt;&lt;/authors&gt;&lt;/contributors&gt;&lt;titles&gt;&lt;title&gt;Thyroid function in humans with morbid obesity&lt;/title&gt;&lt;secondary-title&gt;Thyroid&lt;/secondary-title&gt;&lt;/titles&gt;&lt;periodical&gt;&lt;full-title&gt;Thyroid&lt;/full-title&gt;&lt;/periodical&gt;&lt;pages&gt;73-78&lt;/pages&gt;&lt;volume&gt;16&lt;/volume&gt;&lt;number&gt;1&lt;/number&gt;&lt;dates&gt;&lt;year&gt;2006&lt;/year&gt;&lt;/dates&gt;&lt;isbn&gt;1050-7256&lt;/isbn&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4" w:tooltip="Michalaki, 2006 #1167" w:history="1">
        <w:r w:rsidR="00412F76" w:rsidRPr="00234552">
          <w:rPr>
            <w:rFonts w:ascii="Times New Roman" w:eastAsia="Times New Roman" w:hAnsi="Times New Roman"/>
            <w:noProof/>
            <w:sz w:val="24"/>
            <w:szCs w:val="24"/>
          </w:rPr>
          <w:t>14</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w:t>
      </w:r>
      <w:r w:rsidR="00EC5EC3" w:rsidRPr="00234552">
        <w:rPr>
          <w:rFonts w:ascii="Times New Roman" w:eastAsia="Times New Roman" w:hAnsi="Times New Roman"/>
          <w:b/>
          <w:sz w:val="24"/>
          <w:szCs w:val="24"/>
        </w:rPr>
        <w:t xml:space="preserve"> </w:t>
      </w:r>
      <w:r w:rsidRPr="00234552">
        <w:rPr>
          <w:rFonts w:ascii="Times New Roman" w:eastAsia="Times New Roman" w:hAnsi="Times New Roman"/>
          <w:sz w:val="24"/>
          <w:szCs w:val="24"/>
        </w:rPr>
        <w:t xml:space="preserve">Another effect of hyperthyroidism is bone loss from osteoporosis, caused by an increased excretion of calcium and phosphorus in the urine and stool. The effects can be minimized if the hyperthyroidism is treated early. Thyrotoxicosis can also augment calcium levels in the blood by as much as 25%. This can cause stomach upset, excessive urination, and impaired kidney function </w:t>
      </w:r>
      <w:r w:rsidR="00BF493D" w:rsidRPr="00234552">
        <w:rPr>
          <w:rFonts w:ascii="Times New Roman" w:eastAsia="Times New Roman" w:hAnsi="Times New Roman"/>
          <w:sz w:val="24"/>
          <w:szCs w:val="24"/>
        </w:rPr>
        <w:fldChar w:fldCharType="begin"/>
      </w:r>
      <w:r w:rsidR="00EC5EC3" w:rsidRPr="00234552">
        <w:rPr>
          <w:rFonts w:ascii="Times New Roman" w:eastAsia="Times New Roman" w:hAnsi="Times New Roman"/>
          <w:sz w:val="24"/>
          <w:szCs w:val="24"/>
        </w:rPr>
        <w:instrText xml:space="preserve"> ADDIN EN.CITE &lt;EndNote&gt;&lt;Cite&gt;&lt;Author&gt;Cawood&lt;/Author&gt;&lt;Year&gt;2004&lt;/Year&gt;&lt;RecNum&gt;1168&lt;/RecNum&gt;&lt;DisplayText&gt;[15]&lt;/DisplayText&gt;&lt;record&gt;&lt;rec-number&gt;1168&lt;/rec-number&gt;&lt;foreign-keys&gt;&lt;key app="EN" db-id="5t9a0wevofsa0aersrpp9efbdaztxs2a2ze2" timestamp="1532550313"&gt;1168&lt;/key&gt;&lt;/foreign-keys&gt;&lt;ref-type name="Journal Article"&gt;17&lt;/ref-type&gt;&lt;contributors&gt;&lt;authors&gt;&lt;author&gt;Cawood, Tom&lt;/author&gt;&lt;author&gt;Moriarty, Paul&lt;/author&gt;&lt;author&gt;O&amp;apos;shea, Donal&lt;/author&gt;&lt;/authors&gt;&lt;/contributors&gt;&lt;titles&gt;&lt;title&gt;Recent developments in thyroid eye disease&lt;/title&gt;&lt;secondary-title&gt;BMJ: British Medical Journal&lt;/secondary-title&gt;&lt;/titles&gt;&lt;periodical&gt;&lt;full-title&gt;BMJ: British Medical Journal&lt;/full-title&gt;&lt;/periodical&gt;&lt;pages&gt;385&lt;/pages&gt;&lt;volume&gt;329&lt;/volume&gt;&lt;number&gt;7462&lt;/number&gt;&lt;dates&gt;&lt;year&gt;2004&lt;/year&gt;&lt;/dates&gt;&lt;urls&gt;&lt;/urls&gt;&lt;/record&gt;&lt;/Cite&gt;&lt;/EndNote&gt;</w:instrText>
      </w:r>
      <w:r w:rsidR="00BF493D" w:rsidRPr="00234552">
        <w:rPr>
          <w:rFonts w:ascii="Times New Roman" w:eastAsia="Times New Roman" w:hAnsi="Times New Roman"/>
          <w:sz w:val="24"/>
          <w:szCs w:val="24"/>
        </w:rPr>
        <w:fldChar w:fldCharType="separate"/>
      </w:r>
      <w:r w:rsidR="00EC5EC3" w:rsidRPr="00234552">
        <w:rPr>
          <w:rFonts w:ascii="Times New Roman" w:eastAsia="Times New Roman" w:hAnsi="Times New Roman"/>
          <w:noProof/>
          <w:sz w:val="24"/>
          <w:szCs w:val="24"/>
        </w:rPr>
        <w:t>[</w:t>
      </w:r>
      <w:hyperlink w:anchor="_ENREF_15" w:tooltip="Cawood, 2004 #1168" w:history="1">
        <w:r w:rsidR="00412F76" w:rsidRPr="00234552">
          <w:rPr>
            <w:rFonts w:ascii="Times New Roman" w:eastAsia="Times New Roman" w:hAnsi="Times New Roman"/>
            <w:noProof/>
            <w:sz w:val="24"/>
            <w:szCs w:val="24"/>
          </w:rPr>
          <w:t>15</w:t>
        </w:r>
      </w:hyperlink>
      <w:r w:rsidR="00EC5EC3"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w:t>
      </w:r>
    </w:p>
    <w:p w:rsidR="00F11ED9" w:rsidRPr="00234552" w:rsidRDefault="00253F6E" w:rsidP="007C489A">
      <w:pPr>
        <w:spacing w:before="100" w:beforeAutospacing="1" w:after="100" w:afterAutospacing="1" w:line="480" w:lineRule="auto"/>
        <w:ind w:firstLine="720"/>
        <w:jc w:val="both"/>
        <w:rPr>
          <w:rFonts w:ascii="Times New Roman" w:eastAsia="Times New Roman" w:hAnsi="Times New Roman"/>
          <w:b/>
          <w:sz w:val="24"/>
          <w:szCs w:val="24"/>
        </w:rPr>
      </w:pPr>
      <w:r w:rsidRPr="00234552">
        <w:rPr>
          <w:rFonts w:ascii="Times New Roman" w:eastAsia="Times New Roman" w:hAnsi="Times New Roman"/>
          <w:sz w:val="24"/>
          <w:szCs w:val="24"/>
        </w:rPr>
        <w:t xml:space="preserve">Less commonly, it has been known as Parry's disease, Begbie's disease, Flajani's disease, Flajani-Basedow syndrome and Marsh's disease </w:t>
      </w:r>
      <w:r w:rsidR="00BF493D" w:rsidRPr="00234552">
        <w:rPr>
          <w:rFonts w:ascii="Times New Roman" w:eastAsia="Times New Roman" w:hAnsi="Times New Roman"/>
          <w:sz w:val="24"/>
          <w:szCs w:val="24"/>
        </w:rPr>
        <w:fldChar w:fldCharType="begin"/>
      </w:r>
      <w:r w:rsidR="00603006" w:rsidRPr="00234552">
        <w:rPr>
          <w:rFonts w:ascii="Times New Roman" w:eastAsia="Times New Roman" w:hAnsi="Times New Roman"/>
          <w:sz w:val="24"/>
          <w:szCs w:val="24"/>
        </w:rPr>
        <w:instrText xml:space="preserve"> ADDIN EN.CITE &lt;EndNote&gt;&lt;Cite&gt;&lt;Author&gt;Homsanit&lt;/Author&gt;&lt;Year&gt;2001&lt;/Year&gt;&lt;RecNum&gt;1169&lt;/RecNum&gt;&lt;DisplayText&gt;[16]&lt;/DisplayText&gt;&lt;record&gt;&lt;rec-number&gt;1169&lt;/rec-number&gt;&lt;foreign-keys&gt;&lt;key app="EN" db-id="5t9a0wevofsa0aersrpp9efbdaztxs2a2ze2" timestamp="1532550364"&gt;1169&lt;/key&gt;&lt;/foreign-keys&gt;&lt;ref-type name="Journal Article"&gt;17&lt;/ref-type&gt;&lt;contributors&gt;&lt;authors&gt;&lt;author&gt;Homsanit, Mayuree&lt;/author&gt;&lt;author&gt;Sriussadaporn, Sutin&lt;/author&gt;&lt;author&gt;Vannasaeng, Sathit&lt;/author&gt;&lt;author&gt;Peerapatdit, Thavatchai&lt;/author&gt;&lt;author&gt;Nitiyanant, Wannee&lt;/author&gt;&lt;author&gt;Vichayanrat, Apichati&lt;/author&gt;&lt;/authors&gt;&lt;/contributors&gt;&lt;titles&gt;&lt;title&gt;Efficacy of single daily dosage of methimazole vs. propylthiouracil in the induction of euthyroidism&lt;/title&gt;&lt;secondary-title&gt;Clinical endocrinology&lt;/secondary-title&gt;&lt;/titles&gt;&lt;periodical&gt;&lt;full-title&gt;Clinical endocrinology&lt;/full-title&gt;&lt;/periodical&gt;&lt;pages&gt;385-390&lt;/pages&gt;&lt;volume&gt;54&lt;/volume&gt;&lt;number&gt;3&lt;/number&gt;&lt;dates&gt;&lt;year&gt;2001&lt;/year&gt;&lt;/dates&gt;&lt;isbn&gt;0300-0664&lt;/isbn&gt;&lt;urls&gt;&lt;/urls&gt;&lt;/record&gt;&lt;/Cite&gt;&lt;/EndNote&gt;</w:instrText>
      </w:r>
      <w:r w:rsidR="00BF493D" w:rsidRPr="00234552">
        <w:rPr>
          <w:rFonts w:ascii="Times New Roman" w:eastAsia="Times New Roman" w:hAnsi="Times New Roman"/>
          <w:sz w:val="24"/>
          <w:szCs w:val="24"/>
        </w:rPr>
        <w:fldChar w:fldCharType="separate"/>
      </w:r>
      <w:r w:rsidR="00603006" w:rsidRPr="00234552">
        <w:rPr>
          <w:rFonts w:ascii="Times New Roman" w:eastAsia="Times New Roman" w:hAnsi="Times New Roman"/>
          <w:noProof/>
          <w:sz w:val="24"/>
          <w:szCs w:val="24"/>
        </w:rPr>
        <w:t>[</w:t>
      </w:r>
      <w:hyperlink w:anchor="_ENREF_16" w:tooltip="Homsanit, 2001 #1169" w:history="1">
        <w:r w:rsidR="00412F76" w:rsidRPr="00234552">
          <w:rPr>
            <w:rFonts w:ascii="Times New Roman" w:eastAsia="Times New Roman" w:hAnsi="Times New Roman"/>
            <w:noProof/>
            <w:sz w:val="24"/>
            <w:szCs w:val="24"/>
          </w:rPr>
          <w:t>16</w:t>
        </w:r>
      </w:hyperlink>
      <w:r w:rsidR="00603006"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 xml:space="preserve">. These names for the disease </w:t>
      </w:r>
      <w:r w:rsidRPr="00234552">
        <w:rPr>
          <w:rFonts w:ascii="Times New Roman" w:eastAsia="Times New Roman" w:hAnsi="Times New Roman"/>
          <w:sz w:val="24"/>
          <w:szCs w:val="24"/>
        </w:rPr>
        <w:lastRenderedPageBreak/>
        <w:t xml:space="preserve">were derived from Caleb Hillier Parry, James Begbie, Giuseppe </w:t>
      </w:r>
      <w:r w:rsidRPr="00234552">
        <w:rPr>
          <w:rFonts w:ascii="Times New Roman" w:eastAsia="Times New Roman" w:hAnsi="Times New Roman"/>
          <w:sz w:val="24"/>
          <w:szCs w:val="24"/>
          <w:u w:color="FA5050"/>
        </w:rPr>
        <w:t>Flajani and</w:t>
      </w:r>
      <w:r w:rsidRPr="00234552">
        <w:rPr>
          <w:rFonts w:ascii="Times New Roman" w:eastAsia="Times New Roman" w:hAnsi="Times New Roman"/>
          <w:sz w:val="24"/>
          <w:szCs w:val="24"/>
        </w:rPr>
        <w:t xml:space="preserve"> Henry Marsh. Early reports, not widely circulated, of cases of </w:t>
      </w:r>
      <w:r w:rsidRPr="00A34730">
        <w:rPr>
          <w:rFonts w:ascii="Times New Roman" w:eastAsia="Times New Roman" w:hAnsi="Times New Roman"/>
          <w:noProof/>
          <w:sz w:val="24"/>
          <w:szCs w:val="24"/>
        </w:rPr>
        <w:t>goit</w:t>
      </w:r>
      <w:r w:rsidR="00A34730">
        <w:rPr>
          <w:rFonts w:ascii="Times New Roman" w:eastAsia="Times New Roman" w:hAnsi="Times New Roman"/>
          <w:noProof/>
          <w:sz w:val="24"/>
          <w:szCs w:val="24"/>
        </w:rPr>
        <w:t>er</w:t>
      </w:r>
      <w:r w:rsidRPr="00234552">
        <w:rPr>
          <w:rFonts w:ascii="Times New Roman" w:eastAsia="Times New Roman" w:hAnsi="Times New Roman"/>
          <w:sz w:val="24"/>
          <w:szCs w:val="24"/>
        </w:rPr>
        <w:t xml:space="preserve"> with exophthalmos were published by the Italians Giuseppe Flajina and Antonio Giuseppe Testa, in 1802 and 1810, respectively </w:t>
      </w:r>
      <w:r w:rsidR="00BF493D" w:rsidRPr="00234552">
        <w:rPr>
          <w:rFonts w:ascii="Times New Roman" w:eastAsia="Times New Roman" w:hAnsi="Times New Roman"/>
          <w:sz w:val="24"/>
          <w:szCs w:val="24"/>
        </w:rPr>
        <w:fldChar w:fldCharType="begin"/>
      </w:r>
      <w:r w:rsidR="00603006" w:rsidRPr="00234552">
        <w:rPr>
          <w:rFonts w:ascii="Times New Roman" w:eastAsia="Times New Roman" w:hAnsi="Times New Roman"/>
          <w:sz w:val="24"/>
          <w:szCs w:val="24"/>
        </w:rPr>
        <w:instrText xml:space="preserve"> ADDIN EN.CITE &lt;EndNote&gt;&lt;Cite&gt;&lt;Author&gt;Nguyen&lt;/Author&gt;&lt;Year&gt;2009&lt;/Year&gt;&lt;RecNum&gt;1170&lt;/RecNum&gt;&lt;DisplayText&gt;[17]&lt;/DisplayText&gt;&lt;record&gt;&lt;rec-number&gt;1170&lt;/rec-number&gt;&lt;foreign-keys&gt;&lt;key app="EN" db-id="5t9a0wevofsa0aersrpp9efbdaztxs2a2ze2" timestamp="1532550410"&gt;1170&lt;/key&gt;&lt;/foreign-keys&gt;&lt;ref-type name="Journal Article"&gt;17&lt;/ref-type&gt;&lt;contributors&gt;&lt;authors&gt;&lt;author&gt;Nguyen, Hoa&lt;/author&gt;&lt;author&gt;Lavenier, Dominique&lt;/author&gt;&lt;/authors&gt;&lt;/contributors&gt;&lt;titles&gt;&lt;title&gt;PLAST: parallel local alignment search tool for database comparison&lt;/title&gt;&lt;secondary-title&gt;BMC bioinformatics&lt;/secondary-title&gt;&lt;/titles&gt;&lt;periodical&gt;&lt;full-title&gt;BMC bioinformatics&lt;/full-title&gt;&lt;/periodical&gt;&lt;pages&gt;329&lt;/pages&gt;&lt;volume&gt;10&lt;/volume&gt;&lt;number&gt;1&lt;/number&gt;&lt;dates&gt;&lt;year&gt;2009&lt;/year&gt;&lt;/dates&gt;&lt;isbn&gt;1471-2105&lt;/isbn&gt;&lt;urls&gt;&lt;/urls&gt;&lt;/record&gt;&lt;/Cite&gt;&lt;/EndNote&gt;</w:instrText>
      </w:r>
      <w:r w:rsidR="00BF493D" w:rsidRPr="00234552">
        <w:rPr>
          <w:rFonts w:ascii="Times New Roman" w:eastAsia="Times New Roman" w:hAnsi="Times New Roman"/>
          <w:sz w:val="24"/>
          <w:szCs w:val="24"/>
        </w:rPr>
        <w:fldChar w:fldCharType="separate"/>
      </w:r>
      <w:r w:rsidR="00603006" w:rsidRPr="00234552">
        <w:rPr>
          <w:rFonts w:ascii="Times New Roman" w:eastAsia="Times New Roman" w:hAnsi="Times New Roman"/>
          <w:noProof/>
          <w:sz w:val="24"/>
          <w:szCs w:val="24"/>
        </w:rPr>
        <w:t>[</w:t>
      </w:r>
      <w:hyperlink w:anchor="_ENREF_17" w:tooltip="Nguyen, 2009 #1170" w:history="1">
        <w:r w:rsidR="00412F76" w:rsidRPr="00234552">
          <w:rPr>
            <w:rFonts w:ascii="Times New Roman" w:eastAsia="Times New Roman" w:hAnsi="Times New Roman"/>
            <w:noProof/>
            <w:sz w:val="24"/>
            <w:szCs w:val="24"/>
          </w:rPr>
          <w:t>17</w:t>
        </w:r>
      </w:hyperlink>
      <w:r w:rsidR="00603006"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 xml:space="preserve">. Prior to these, Caleb Hillier Parry, a notable provincial physician in England of the late 18th century, described a case in 1786. This case was not published until 1825, but still 10 years ahead of Graves </w:t>
      </w:r>
      <w:r w:rsidR="00BF493D" w:rsidRPr="00234552">
        <w:rPr>
          <w:rFonts w:ascii="Times New Roman" w:eastAsia="Times New Roman" w:hAnsi="Times New Roman"/>
          <w:sz w:val="24"/>
          <w:szCs w:val="24"/>
        </w:rPr>
        <w:fldChar w:fldCharType="begin"/>
      </w:r>
      <w:r w:rsidR="00603006" w:rsidRPr="00234552">
        <w:rPr>
          <w:rFonts w:ascii="Times New Roman" w:eastAsia="Times New Roman" w:hAnsi="Times New Roman"/>
          <w:sz w:val="24"/>
          <w:szCs w:val="24"/>
        </w:rPr>
        <w:instrText xml:space="preserve"> ADDIN EN.CITE &lt;EndNote&gt;&lt;Cite&gt;&lt;Author&gt;Hull&lt;/Author&gt;&lt;Year&gt;1998&lt;/Year&gt;&lt;RecNum&gt;1171&lt;/RecNum&gt;&lt;DisplayText&gt;[18]&lt;/DisplayText&gt;&lt;record&gt;&lt;rec-number&gt;1171&lt;/rec-number&gt;&lt;foreign-keys&gt;&lt;key app="EN" db-id="5t9a0wevofsa0aersrpp9efbdaztxs2a2ze2" timestamp="1532550456"&gt;1171&lt;/key&gt;&lt;/foreign-keys&gt;&lt;ref-type name="Journal Article"&gt;17&lt;/ref-type&gt;&lt;contributors&gt;&lt;authors&gt;&lt;author&gt;Hull, Gillian&lt;/author&gt;&lt;/authors&gt;&lt;/contributors&gt;&lt;titles&gt;&lt;title&gt;Caleb Hillier Parry 1755–1822: a notable provincial physician&lt;/title&gt;&lt;secondary-title&gt;Journal of the royal Society of Medicine&lt;/secondary-title&gt;&lt;/titles&gt;&lt;periodical&gt;&lt;full-title&gt;Journal of the royal Society of Medicine&lt;/full-title&gt;&lt;/periodical&gt;&lt;pages&gt;335-338&lt;/pages&gt;&lt;volume&gt;91&lt;/volume&gt;&lt;number&gt;6&lt;/number&gt;&lt;dates&gt;&lt;year&gt;1998&lt;/year&gt;&lt;/dates&gt;&lt;isbn&gt;0141-0768&lt;/isbn&gt;&lt;urls&gt;&lt;/urls&gt;&lt;/record&gt;&lt;/Cite&gt;&lt;/EndNote&gt;</w:instrText>
      </w:r>
      <w:r w:rsidR="00BF493D" w:rsidRPr="00234552">
        <w:rPr>
          <w:rFonts w:ascii="Times New Roman" w:eastAsia="Times New Roman" w:hAnsi="Times New Roman"/>
          <w:sz w:val="24"/>
          <w:szCs w:val="24"/>
        </w:rPr>
        <w:fldChar w:fldCharType="separate"/>
      </w:r>
      <w:r w:rsidR="00603006" w:rsidRPr="00234552">
        <w:rPr>
          <w:rFonts w:ascii="Times New Roman" w:eastAsia="Times New Roman" w:hAnsi="Times New Roman"/>
          <w:noProof/>
          <w:sz w:val="24"/>
          <w:szCs w:val="24"/>
        </w:rPr>
        <w:t>[</w:t>
      </w:r>
      <w:hyperlink w:anchor="_ENREF_18" w:tooltip="Hull, 1998 #1171" w:history="1">
        <w:r w:rsidR="00412F76" w:rsidRPr="00234552">
          <w:rPr>
            <w:rFonts w:ascii="Times New Roman" w:eastAsia="Times New Roman" w:hAnsi="Times New Roman"/>
            <w:noProof/>
            <w:sz w:val="24"/>
            <w:szCs w:val="24"/>
          </w:rPr>
          <w:t>18</w:t>
        </w:r>
      </w:hyperlink>
      <w:r w:rsidR="00603006" w:rsidRPr="00234552">
        <w:rPr>
          <w:rFonts w:ascii="Times New Roman" w:eastAsia="Times New Roman" w:hAnsi="Times New Roman"/>
          <w:noProof/>
          <w:sz w:val="24"/>
          <w:szCs w:val="24"/>
        </w:rPr>
        <w:t>]</w:t>
      </w:r>
      <w:r w:rsidR="00BF493D" w:rsidRPr="00234552">
        <w:rPr>
          <w:rFonts w:ascii="Times New Roman" w:eastAsia="Times New Roman" w:hAnsi="Times New Roman"/>
          <w:sz w:val="24"/>
          <w:szCs w:val="24"/>
        </w:rPr>
        <w:fldChar w:fldCharType="end"/>
      </w:r>
      <w:r w:rsidRPr="00234552">
        <w:rPr>
          <w:rFonts w:ascii="Times New Roman" w:eastAsia="Times New Roman" w:hAnsi="Times New Roman"/>
          <w:sz w:val="24"/>
          <w:szCs w:val="24"/>
        </w:rPr>
        <w:t>.</w:t>
      </w:r>
      <w:r w:rsidR="00603006" w:rsidRPr="00234552">
        <w:rPr>
          <w:rFonts w:ascii="Times New Roman" w:eastAsia="Times New Roman" w:hAnsi="Times New Roman"/>
          <w:sz w:val="24"/>
          <w:szCs w:val="24"/>
        </w:rPr>
        <w:t xml:space="preserve"> </w:t>
      </w:r>
      <w:r w:rsidRPr="00234552">
        <w:rPr>
          <w:rFonts w:ascii="Times New Roman" w:hAnsi="Times New Roman"/>
          <w:sz w:val="24"/>
          <w:szCs w:val="24"/>
        </w:rPr>
        <w:t>A recent update in this area showed a continuing incidence of 80 cases/100,000 women/year. Data attest to a lifelong incidence of autoimmune thyroid disease of &gt; 6%, comprised roughly equally by Graves disease, Hashimoto`s thyroiditis and idiopathic hypothyroidism.</w:t>
      </w:r>
      <w:r w:rsidR="00603006" w:rsidRPr="00234552">
        <w:rPr>
          <w:rFonts w:ascii="Times New Roman" w:hAnsi="Times New Roman"/>
          <w:sz w:val="24"/>
          <w:szCs w:val="24"/>
        </w:rPr>
        <w:t xml:space="preserve"> </w:t>
      </w:r>
      <w:r w:rsidR="00603006" w:rsidRPr="00234552">
        <w:rPr>
          <w:rFonts w:ascii="Times New Roman" w:eastAsiaTheme="minorHAnsi" w:hAnsi="Times New Roman"/>
          <w:sz w:val="24"/>
          <w:szCs w:val="24"/>
        </w:rPr>
        <w:t>Medicinal plants besides therapeutic agents are also a big source of information for a wide variety of chemical constituents</w:t>
      </w:r>
      <w:r w:rsidR="00BF493D" w:rsidRPr="00234552">
        <w:rPr>
          <w:rFonts w:ascii="Times New Roman" w:hAnsi="Times New Roman"/>
          <w:sz w:val="24"/>
          <w:szCs w:val="24"/>
        </w:rPr>
        <w:fldChar w:fldCharType="begin"/>
      </w:r>
      <w:r w:rsidR="00603006" w:rsidRPr="00234552">
        <w:rPr>
          <w:rFonts w:ascii="Times New Roman" w:hAnsi="Times New Roman"/>
          <w:sz w:val="24"/>
          <w:szCs w:val="24"/>
        </w:rPr>
        <w:instrText xml:space="preserve"> ADDIN EN.CITE &lt;EndNote&gt;&lt;Cite&gt;&lt;Author&gt;Tamizhazhagan&lt;/Author&gt;&lt;Year&gt;2017&lt;/Year&gt;&lt;RecNum&gt;1172&lt;/RecNum&gt;&lt;DisplayText&gt;[19]&lt;/DisplayText&gt;&lt;record&gt;&lt;rec-number&gt;1172&lt;/rec-number&gt;&lt;foreign-keys&gt;&lt;key app="EN" db-id="5t9a0wevofsa0aersrpp9efbdaztxs2a2ze2" timestamp="1532550604"&gt;1172&lt;/key&gt;&lt;/foreign-keys&gt;&lt;ref-type name="Journal Article"&gt;17&lt;/ref-type&gt;&lt;contributors&gt;&lt;authors&gt;&lt;author&gt;Tamizhazhagan, V&lt;/author&gt;&lt;author&gt;Pugazhendy, K&lt;/author&gt;&lt;/authors&gt;&lt;/contributors&gt;&lt;titles&gt;&lt;title&gt;Ethnobotanical and Phytopharmacological review of Pisonia alba Span&lt;/title&gt;&lt;secondary-title&gt;Asian J Pharm Clin Res&lt;/secondary-title&gt;&lt;/titles&gt;&lt;periodical&gt;&lt;full-title&gt;Asian J Pharm Clin Res&lt;/full-title&gt;&lt;/periodical&gt;&lt;pages&gt;69-71&lt;/pages&gt;&lt;volume&gt;10&lt;/volume&gt;&lt;number&gt;5&lt;/number&gt;&lt;dates&gt;&lt;year&gt;2017&lt;/year&gt;&lt;/dates&gt;&lt;urls&gt;&lt;/urls&gt;&lt;/record&gt;&lt;/Cite&gt;&lt;/EndNote&gt;</w:instrText>
      </w:r>
      <w:r w:rsidR="00BF493D" w:rsidRPr="00234552">
        <w:rPr>
          <w:rFonts w:ascii="Times New Roman" w:hAnsi="Times New Roman"/>
          <w:sz w:val="24"/>
          <w:szCs w:val="24"/>
        </w:rPr>
        <w:fldChar w:fldCharType="separate"/>
      </w:r>
      <w:r w:rsidR="00603006" w:rsidRPr="00234552">
        <w:rPr>
          <w:rFonts w:ascii="Times New Roman" w:hAnsi="Times New Roman"/>
          <w:noProof/>
          <w:sz w:val="24"/>
          <w:szCs w:val="24"/>
        </w:rPr>
        <w:t>[</w:t>
      </w:r>
      <w:hyperlink w:anchor="_ENREF_19" w:tooltip="Tamizhazhagan, 2017 #1172" w:history="1">
        <w:r w:rsidR="00412F76" w:rsidRPr="00234552">
          <w:rPr>
            <w:rFonts w:ascii="Times New Roman" w:hAnsi="Times New Roman"/>
            <w:noProof/>
            <w:sz w:val="24"/>
            <w:szCs w:val="24"/>
          </w:rPr>
          <w:t>19</w:t>
        </w:r>
      </w:hyperlink>
      <w:r w:rsidR="00603006" w:rsidRPr="00234552">
        <w:rPr>
          <w:rFonts w:ascii="Times New Roman" w:hAnsi="Times New Roman"/>
          <w:noProof/>
          <w:sz w:val="24"/>
          <w:szCs w:val="24"/>
        </w:rPr>
        <w:t>]</w:t>
      </w:r>
      <w:r w:rsidR="00BF493D" w:rsidRPr="00234552">
        <w:rPr>
          <w:rFonts w:ascii="Times New Roman" w:hAnsi="Times New Roman"/>
          <w:sz w:val="24"/>
          <w:szCs w:val="24"/>
        </w:rPr>
        <w:fldChar w:fldCharType="end"/>
      </w:r>
      <w:r w:rsidR="00603006" w:rsidRPr="00234552">
        <w:rPr>
          <w:rFonts w:ascii="Times New Roman" w:hAnsi="Times New Roman"/>
          <w:sz w:val="24"/>
          <w:szCs w:val="24"/>
        </w:rPr>
        <w:t>.</w:t>
      </w:r>
    </w:p>
    <w:p w:rsidR="00253F6E" w:rsidRPr="00234552" w:rsidRDefault="00253F6E" w:rsidP="007C489A">
      <w:pPr>
        <w:spacing w:before="100" w:beforeAutospacing="1" w:after="100" w:afterAutospacing="1" w:line="480" w:lineRule="auto"/>
        <w:ind w:firstLine="720"/>
        <w:jc w:val="both"/>
        <w:rPr>
          <w:rFonts w:ascii="Times New Roman" w:hAnsi="Times New Roman"/>
          <w:bCs/>
          <w:sz w:val="24"/>
          <w:szCs w:val="24"/>
        </w:rPr>
      </w:pPr>
      <w:r w:rsidRPr="00234552">
        <w:rPr>
          <w:rFonts w:ascii="Times New Roman" w:hAnsi="Times New Roman"/>
          <w:bCs/>
          <w:sz w:val="24"/>
          <w:szCs w:val="24"/>
        </w:rPr>
        <w:t>It</w:t>
      </w:r>
      <w:r w:rsidRPr="00234552">
        <w:rPr>
          <w:rFonts w:ascii="Times New Roman" w:hAnsi="Times New Roman"/>
          <w:sz w:val="24"/>
          <w:szCs w:val="24"/>
        </w:rPr>
        <w:t xml:space="preserve"> is a protein that in humans is encoded by the </w:t>
      </w:r>
      <w:r w:rsidRPr="00234552">
        <w:rPr>
          <w:rFonts w:ascii="Times New Roman" w:hAnsi="Times New Roman"/>
          <w:iCs/>
          <w:sz w:val="24"/>
          <w:szCs w:val="24"/>
        </w:rPr>
        <w:t>FCRL3</w:t>
      </w:r>
      <w:r w:rsidRPr="00234552">
        <w:rPr>
          <w:rFonts w:ascii="Times New Roman" w:hAnsi="Times New Roman"/>
          <w:sz w:val="24"/>
          <w:szCs w:val="24"/>
        </w:rPr>
        <w:t xml:space="preserve"> gene </w:t>
      </w:r>
      <w:r w:rsidR="00BF493D" w:rsidRPr="00234552">
        <w:rPr>
          <w:rFonts w:ascii="Times New Roman" w:hAnsi="Times New Roman"/>
          <w:sz w:val="24"/>
          <w:szCs w:val="24"/>
        </w:rPr>
        <w:fldChar w:fldCharType="begin"/>
      </w:r>
      <w:r w:rsidR="00603006" w:rsidRPr="00234552">
        <w:rPr>
          <w:rFonts w:ascii="Times New Roman" w:hAnsi="Times New Roman"/>
          <w:sz w:val="24"/>
          <w:szCs w:val="24"/>
        </w:rPr>
        <w:instrText xml:space="preserve"> ADDIN EN.CITE &lt;EndNote&gt;&lt;Cite&gt;&lt;Author&gt;Davis&lt;/Author&gt;&lt;Year&gt;2001&lt;/Year&gt;&lt;RecNum&gt;1173&lt;/RecNum&gt;&lt;DisplayText&gt;[20]&lt;/DisplayText&gt;&lt;record&gt;&lt;rec-number&gt;1173&lt;/rec-number&gt;&lt;foreign-keys&gt;&lt;key app="EN" db-id="5t9a0wevofsa0aersrpp9efbdaztxs2a2ze2" timestamp="1532550674"&gt;1173&lt;/key&gt;&lt;/foreign-keys&gt;&lt;ref-type name="Journal Article"&gt;17&lt;/ref-type&gt;&lt;contributors&gt;&lt;authors&gt;&lt;author&gt;Davis, Randall S&lt;/author&gt;&lt;author&gt;Wang, Yui-Hsi&lt;/author&gt;&lt;author&gt;Kubagawa, Hiromi&lt;/author&gt;&lt;author&gt;Cooper, Max D&lt;/author&gt;&lt;/authors&gt;&lt;/contributors&gt;&lt;titles&gt;&lt;title&gt;Identification of a family of Fc receptor homologs with preferential B cell expression&lt;/title&gt;&lt;secondary-title&gt;Proceedings of the National Academy of Sciences&lt;/secondary-title&gt;&lt;/titles&gt;&lt;periodical&gt;&lt;full-title&gt;Proceedings of the National Academy of Sciences&lt;/full-title&gt;&lt;/periodical&gt;&lt;pages&gt;9772-9777&lt;/pages&gt;&lt;volume&gt;98&lt;/volume&gt;&lt;number&gt;17&lt;/number&gt;&lt;dates&gt;&lt;year&gt;2001&lt;/year&gt;&lt;/dates&gt;&lt;isbn&gt;0027-8424&lt;/isbn&gt;&lt;urls&gt;&lt;/urls&gt;&lt;/record&gt;&lt;/Cite&gt;&lt;/EndNote&gt;</w:instrText>
      </w:r>
      <w:r w:rsidR="00BF493D" w:rsidRPr="00234552">
        <w:rPr>
          <w:rFonts w:ascii="Times New Roman" w:hAnsi="Times New Roman"/>
          <w:sz w:val="24"/>
          <w:szCs w:val="24"/>
        </w:rPr>
        <w:fldChar w:fldCharType="separate"/>
      </w:r>
      <w:r w:rsidR="00603006" w:rsidRPr="00234552">
        <w:rPr>
          <w:rFonts w:ascii="Times New Roman" w:hAnsi="Times New Roman"/>
          <w:noProof/>
          <w:sz w:val="24"/>
          <w:szCs w:val="24"/>
        </w:rPr>
        <w:t>[</w:t>
      </w:r>
      <w:hyperlink w:anchor="_ENREF_20" w:tooltip="Davis, 2001 #1173" w:history="1">
        <w:r w:rsidR="00412F76" w:rsidRPr="00234552">
          <w:rPr>
            <w:rFonts w:ascii="Times New Roman" w:hAnsi="Times New Roman"/>
            <w:noProof/>
            <w:sz w:val="24"/>
            <w:szCs w:val="24"/>
          </w:rPr>
          <w:t>20</w:t>
        </w:r>
      </w:hyperlink>
      <w:r w:rsidR="00603006" w:rsidRPr="00234552">
        <w:rPr>
          <w:rFonts w:ascii="Times New Roman" w:hAnsi="Times New Roman"/>
          <w:noProof/>
          <w:sz w:val="24"/>
          <w:szCs w:val="24"/>
        </w:rPr>
        <w:t>]</w:t>
      </w:r>
      <w:r w:rsidR="00BF493D" w:rsidRPr="00234552">
        <w:rPr>
          <w:rFonts w:ascii="Times New Roman" w:hAnsi="Times New Roman"/>
          <w:sz w:val="24"/>
          <w:szCs w:val="24"/>
        </w:rPr>
        <w:fldChar w:fldCharType="end"/>
      </w:r>
      <w:r w:rsidRPr="00234552">
        <w:rPr>
          <w:rFonts w:ascii="Times New Roman" w:hAnsi="Times New Roman"/>
          <w:sz w:val="24"/>
          <w:szCs w:val="24"/>
        </w:rPr>
        <w:t>.</w:t>
      </w:r>
      <w:r w:rsidRPr="00234552">
        <w:rPr>
          <w:rFonts w:ascii="Times New Roman" w:hAnsi="Times New Roman"/>
          <w:b/>
          <w:bCs/>
          <w:sz w:val="24"/>
          <w:szCs w:val="24"/>
        </w:rPr>
        <w:t xml:space="preserve"> </w:t>
      </w:r>
      <w:r w:rsidRPr="00234552">
        <w:rPr>
          <w:rFonts w:ascii="Times New Roman" w:hAnsi="Times New Roman"/>
          <w:sz w:val="24"/>
          <w:szCs w:val="24"/>
        </w:rPr>
        <w:t>This gene encodes a member of the immunoglobulin receptor superfamily and is one of several Fc receptor-like glycoproteins clustered o</w:t>
      </w:r>
      <w:r w:rsidR="00603006" w:rsidRPr="00234552">
        <w:rPr>
          <w:rFonts w:ascii="Times New Roman" w:hAnsi="Times New Roman"/>
          <w:sz w:val="24"/>
          <w:szCs w:val="24"/>
        </w:rPr>
        <w:t xml:space="preserve">n the long arm of chromosome </w:t>
      </w:r>
      <w:r w:rsidR="00BF493D" w:rsidRPr="00234552">
        <w:rPr>
          <w:rFonts w:ascii="Times New Roman" w:hAnsi="Times New Roman"/>
          <w:sz w:val="24"/>
          <w:szCs w:val="24"/>
        </w:rPr>
        <w:fldChar w:fldCharType="begin"/>
      </w:r>
      <w:r w:rsidR="00603006" w:rsidRPr="00234552">
        <w:rPr>
          <w:rFonts w:ascii="Times New Roman" w:hAnsi="Times New Roman"/>
          <w:sz w:val="24"/>
          <w:szCs w:val="24"/>
        </w:rPr>
        <w:instrText xml:space="preserve"> ADDIN EN.CITE &lt;EndNote&gt;&lt;Cite&gt;&lt;Author&gt;Davis&lt;/Author&gt;&lt;Year&gt;2002&lt;/Year&gt;&lt;RecNum&gt;1174&lt;/RecNum&gt;&lt;DisplayText&gt;[21]&lt;/DisplayText&gt;&lt;record&gt;&lt;rec-number&gt;1174&lt;/rec-number&gt;&lt;foreign-keys&gt;&lt;key app="EN" db-id="5t9a0wevofsa0aersrpp9efbdaztxs2a2ze2" timestamp="1532550716"&gt;1174&lt;/key&gt;&lt;/foreign-keys&gt;&lt;ref-type name="Book Section"&gt;5&lt;/ref-type&gt;&lt;contributors&gt;&lt;authors&gt;&lt;author&gt;Davis, RS&lt;/author&gt;&lt;author&gt;Dennis, G&lt;/author&gt;&lt;author&gt;Kubagawa, H&lt;/author&gt;&lt;author&gt;Cooper, MD&lt;/author&gt;&lt;/authors&gt;&lt;/contributors&gt;&lt;titles&gt;&lt;title&gt;Fc receptor homologs (FcRH1-5) extend the Fc receptor family&lt;/title&gt;&lt;secondary-title&gt;The Interface Between Innate and Acquired Immunity&lt;/secondary-title&gt;&lt;/titles&gt;&lt;pages&gt;85-112&lt;/pages&gt;&lt;dates&gt;&lt;year&gt;2002&lt;/year&gt;&lt;/dates&gt;&lt;publisher&gt;Springer&lt;/publisher&gt;&lt;urls&gt;&lt;/urls&gt;&lt;/record&gt;&lt;/Cite&gt;&lt;/EndNote&gt;</w:instrText>
      </w:r>
      <w:r w:rsidR="00BF493D" w:rsidRPr="00234552">
        <w:rPr>
          <w:rFonts w:ascii="Times New Roman" w:hAnsi="Times New Roman"/>
          <w:sz w:val="24"/>
          <w:szCs w:val="24"/>
        </w:rPr>
        <w:fldChar w:fldCharType="separate"/>
      </w:r>
      <w:r w:rsidR="00603006" w:rsidRPr="00234552">
        <w:rPr>
          <w:rFonts w:ascii="Times New Roman" w:hAnsi="Times New Roman"/>
          <w:noProof/>
          <w:sz w:val="24"/>
          <w:szCs w:val="24"/>
        </w:rPr>
        <w:t>[</w:t>
      </w:r>
      <w:hyperlink w:anchor="_ENREF_21" w:tooltip="Davis, 2002 #1174" w:history="1">
        <w:r w:rsidR="00412F76" w:rsidRPr="00234552">
          <w:rPr>
            <w:rFonts w:ascii="Times New Roman" w:hAnsi="Times New Roman"/>
            <w:noProof/>
            <w:sz w:val="24"/>
            <w:szCs w:val="24"/>
          </w:rPr>
          <w:t>21</w:t>
        </w:r>
      </w:hyperlink>
      <w:r w:rsidR="00603006" w:rsidRPr="00234552">
        <w:rPr>
          <w:rFonts w:ascii="Times New Roman" w:hAnsi="Times New Roman"/>
          <w:noProof/>
          <w:sz w:val="24"/>
          <w:szCs w:val="24"/>
        </w:rPr>
        <w:t>]</w:t>
      </w:r>
      <w:r w:rsidR="00BF493D" w:rsidRPr="00234552">
        <w:rPr>
          <w:rFonts w:ascii="Times New Roman" w:hAnsi="Times New Roman"/>
          <w:sz w:val="24"/>
          <w:szCs w:val="24"/>
        </w:rPr>
        <w:fldChar w:fldCharType="end"/>
      </w:r>
      <w:r w:rsidRPr="00234552">
        <w:rPr>
          <w:rFonts w:ascii="Times New Roman" w:hAnsi="Times New Roman"/>
          <w:sz w:val="24"/>
          <w:szCs w:val="24"/>
        </w:rPr>
        <w:t xml:space="preserve">. The encoded protein contains immunoreceptor-tyrosine activation motifs and immunoreceptor-tyrosine inhibitory motifs in its cytoplasmic domain and may play a role in regulation of the immune system. Mutations in this gene have been associated with rheumatoid arthritis, autoimmune thyroid disease and systemic lupus </w:t>
      </w:r>
      <w:r w:rsidRPr="00A34730">
        <w:rPr>
          <w:rFonts w:ascii="Times New Roman" w:hAnsi="Times New Roman"/>
          <w:noProof/>
          <w:sz w:val="24"/>
          <w:szCs w:val="24"/>
        </w:rPr>
        <w:t>erythemato</w:t>
      </w:r>
      <w:r w:rsidR="00A34730">
        <w:rPr>
          <w:rFonts w:ascii="Times New Roman" w:hAnsi="Times New Roman"/>
          <w:noProof/>
          <w:sz w:val="24"/>
          <w:szCs w:val="24"/>
        </w:rPr>
        <w:t>s</w:t>
      </w:r>
      <w:r w:rsidRPr="00A34730">
        <w:rPr>
          <w:rFonts w:ascii="Times New Roman" w:hAnsi="Times New Roman"/>
          <w:noProof/>
          <w:sz w:val="24"/>
          <w:szCs w:val="24"/>
        </w:rPr>
        <w:t>us</w:t>
      </w:r>
      <w:r w:rsidR="00603006" w:rsidRPr="00234552">
        <w:rPr>
          <w:rFonts w:ascii="Times New Roman" w:hAnsi="Times New Roman"/>
          <w:sz w:val="24"/>
          <w:szCs w:val="24"/>
        </w:rPr>
        <w:t xml:space="preserve"> </w:t>
      </w:r>
      <w:r w:rsidR="00BF493D" w:rsidRPr="00234552">
        <w:rPr>
          <w:rFonts w:ascii="Times New Roman" w:hAnsi="Times New Roman"/>
          <w:sz w:val="24"/>
          <w:szCs w:val="24"/>
        </w:rPr>
        <w:fldChar w:fldCharType="begin"/>
      </w:r>
      <w:r w:rsidR="00603006" w:rsidRPr="00234552">
        <w:rPr>
          <w:rFonts w:ascii="Times New Roman" w:hAnsi="Times New Roman"/>
          <w:sz w:val="24"/>
          <w:szCs w:val="24"/>
        </w:rPr>
        <w:instrText xml:space="preserve"> ADDIN EN.CITE &lt;EndNote&gt;&lt;Cite&gt;&lt;Author&gt;Sayle&lt;/Author&gt;&lt;Year&gt;1995&lt;/Year&gt;&lt;RecNum&gt;1175&lt;/RecNum&gt;&lt;DisplayText&gt;[22]&lt;/DisplayText&gt;&lt;record&gt;&lt;rec-number&gt;1175&lt;/rec-number&gt;&lt;foreign-keys&gt;&lt;key app="EN" db-id="5t9a0wevofsa0aersrpp9efbdaztxs2a2ze2" timestamp="1532550767"&gt;1175&lt;/key&gt;&lt;/foreign-keys&gt;&lt;ref-type name="Journal Article"&gt;17&lt;/ref-type&gt;&lt;contributors&gt;&lt;authors&gt;&lt;author&gt;Sayle, Roger A&lt;/author&gt;&lt;author&gt;Milner-White, E James&lt;/author&gt;&lt;/authors&gt;&lt;/contributors&gt;&lt;titles&gt;&lt;title&gt;RASMOL: biomolecular graphics for all&lt;/title&gt;&lt;secondary-title&gt;Trends in biochemical sciences&lt;/secondary-title&gt;&lt;/titles&gt;&lt;periodical&gt;&lt;full-title&gt;Trends in biochemical sciences&lt;/full-title&gt;&lt;/periodical&gt;&lt;pages&gt;374-376&lt;/pages&gt;&lt;volume&gt;20&lt;/volume&gt;&lt;number&gt;9&lt;/number&gt;&lt;dates&gt;&lt;year&gt;1995&lt;/year&gt;&lt;/dates&gt;&lt;isbn&gt;0968-0004&lt;/isbn&gt;&lt;urls&gt;&lt;/urls&gt;&lt;/record&gt;&lt;/Cite&gt;&lt;/EndNote&gt;</w:instrText>
      </w:r>
      <w:r w:rsidR="00BF493D" w:rsidRPr="00234552">
        <w:rPr>
          <w:rFonts w:ascii="Times New Roman" w:hAnsi="Times New Roman"/>
          <w:sz w:val="24"/>
          <w:szCs w:val="24"/>
        </w:rPr>
        <w:fldChar w:fldCharType="separate"/>
      </w:r>
      <w:r w:rsidR="00603006" w:rsidRPr="00234552">
        <w:rPr>
          <w:rFonts w:ascii="Times New Roman" w:hAnsi="Times New Roman"/>
          <w:noProof/>
          <w:sz w:val="24"/>
          <w:szCs w:val="24"/>
        </w:rPr>
        <w:t>[</w:t>
      </w:r>
      <w:hyperlink w:anchor="_ENREF_22" w:tooltip="Sayle, 1995 #1175" w:history="1">
        <w:r w:rsidR="00412F76" w:rsidRPr="00234552">
          <w:rPr>
            <w:rFonts w:ascii="Times New Roman" w:hAnsi="Times New Roman"/>
            <w:noProof/>
            <w:sz w:val="24"/>
            <w:szCs w:val="24"/>
          </w:rPr>
          <w:t>22</w:t>
        </w:r>
      </w:hyperlink>
      <w:r w:rsidR="00603006" w:rsidRPr="00234552">
        <w:rPr>
          <w:rFonts w:ascii="Times New Roman" w:hAnsi="Times New Roman"/>
          <w:noProof/>
          <w:sz w:val="24"/>
          <w:szCs w:val="24"/>
        </w:rPr>
        <w:t>]</w:t>
      </w:r>
      <w:r w:rsidR="00BF493D" w:rsidRPr="00234552">
        <w:rPr>
          <w:rFonts w:ascii="Times New Roman" w:hAnsi="Times New Roman"/>
          <w:sz w:val="24"/>
          <w:szCs w:val="24"/>
        </w:rPr>
        <w:fldChar w:fldCharType="end"/>
      </w:r>
      <w:r w:rsidRPr="00234552">
        <w:rPr>
          <w:rFonts w:ascii="Times New Roman" w:hAnsi="Times New Roman"/>
          <w:sz w:val="24"/>
          <w:szCs w:val="24"/>
        </w:rPr>
        <w:t>.</w:t>
      </w:r>
      <w:r w:rsidRPr="00234552">
        <w:rPr>
          <w:rFonts w:ascii="Times New Roman" w:hAnsi="Times New Roman"/>
          <w:bCs/>
          <w:sz w:val="24"/>
          <w:szCs w:val="24"/>
        </w:rPr>
        <w:t xml:space="preserve"> </w:t>
      </w:r>
      <w:r w:rsidRPr="00234552">
        <w:rPr>
          <w:rStyle w:val="Emphasis"/>
          <w:rFonts w:ascii="Times New Roman" w:hAnsi="Times New Roman"/>
          <w:i w:val="0"/>
          <w:sz w:val="24"/>
          <w:szCs w:val="24"/>
          <w:bdr w:val="none" w:sz="0" w:space="0" w:color="auto" w:frame="1"/>
        </w:rPr>
        <w:t>Acetaminophen</w:t>
      </w:r>
      <w:r w:rsidRPr="00234552">
        <w:rPr>
          <w:rFonts w:ascii="Times New Roman" w:hAnsi="Times New Roman"/>
          <w:b/>
          <w:sz w:val="24"/>
          <w:szCs w:val="24"/>
        </w:rPr>
        <w:t xml:space="preserve"> </w:t>
      </w:r>
      <w:r w:rsidRPr="00234552">
        <w:rPr>
          <w:rFonts w:ascii="Times New Roman" w:hAnsi="Times New Roman"/>
          <w:sz w:val="24"/>
          <w:szCs w:val="24"/>
        </w:rPr>
        <w:t xml:space="preserve">medications are available over the counter that </w:t>
      </w:r>
      <w:r w:rsidRPr="00234552">
        <w:rPr>
          <w:rFonts w:ascii="Times New Roman" w:hAnsi="Times New Roman"/>
          <w:sz w:val="24"/>
          <w:szCs w:val="24"/>
          <w:u w:color="FA5050"/>
        </w:rPr>
        <w:t>ability</w:t>
      </w:r>
      <w:r w:rsidRPr="00234552">
        <w:rPr>
          <w:rFonts w:ascii="Times New Roman" w:hAnsi="Times New Roman"/>
          <w:sz w:val="24"/>
          <w:szCs w:val="24"/>
        </w:rPr>
        <w:t xml:space="preserve"> to reduce swelling (inflammation) and pain. Anti-inflammatory products are effective in reducing joint and muscular pain and the associated swelling with Graves disease </w:t>
      </w:r>
      <w:r w:rsidRPr="00234552">
        <w:rPr>
          <w:rFonts w:ascii="Times New Roman" w:hAnsi="Times New Roman"/>
          <w:sz w:val="24"/>
          <w:szCs w:val="24"/>
          <w:u w:color="FA5050"/>
        </w:rPr>
        <w:t>they</w:t>
      </w:r>
      <w:r w:rsidRPr="00234552">
        <w:rPr>
          <w:rFonts w:ascii="Times New Roman" w:hAnsi="Times New Roman"/>
          <w:sz w:val="24"/>
          <w:szCs w:val="24"/>
        </w:rPr>
        <w:t xml:space="preserve"> are also excellent choices for arthritic pain and swelling.</w:t>
      </w:r>
      <w:r w:rsidRPr="00234552">
        <w:rPr>
          <w:rFonts w:ascii="Times New Roman" w:hAnsi="Times New Roman"/>
          <w:i/>
          <w:sz w:val="24"/>
          <w:szCs w:val="24"/>
          <w:bdr w:val="none" w:sz="0" w:space="0" w:color="auto" w:frame="1"/>
        </w:rPr>
        <w:t xml:space="preserve"> </w:t>
      </w:r>
      <w:r w:rsidRPr="00234552">
        <w:rPr>
          <w:rStyle w:val="Emphasis"/>
          <w:rFonts w:ascii="Times New Roman" w:hAnsi="Times New Roman"/>
          <w:i w:val="0"/>
          <w:sz w:val="24"/>
          <w:szCs w:val="24"/>
          <w:bdr w:val="none" w:sz="0" w:space="0" w:color="auto" w:frame="1"/>
        </w:rPr>
        <w:t>Acetaminophen</w:t>
      </w:r>
      <w:r w:rsidRPr="00234552">
        <w:rPr>
          <w:rStyle w:val="apple-converted-space"/>
          <w:rFonts w:ascii="Times New Roman" w:hAnsi="Times New Roman"/>
          <w:i/>
          <w:iCs/>
          <w:sz w:val="24"/>
          <w:szCs w:val="24"/>
          <w:bdr w:val="none" w:sz="0" w:space="0" w:color="auto" w:frame="1"/>
        </w:rPr>
        <w:t> </w:t>
      </w:r>
      <w:r w:rsidRPr="00234552">
        <w:rPr>
          <w:rFonts w:ascii="Times New Roman" w:hAnsi="Times New Roman"/>
          <w:sz w:val="24"/>
          <w:szCs w:val="24"/>
        </w:rPr>
        <w:t xml:space="preserve">is the most widely used over-the-counter medication in America. Most patients can safely use this medication for pain or fever. While not an effective anti-inflammatory medicine, many </w:t>
      </w:r>
      <w:r w:rsidRPr="00A34730">
        <w:rPr>
          <w:rFonts w:ascii="Times New Roman" w:hAnsi="Times New Roman"/>
          <w:noProof/>
          <w:sz w:val="24"/>
          <w:szCs w:val="24"/>
        </w:rPr>
        <w:t>arthritic</w:t>
      </w:r>
      <w:r w:rsidRPr="00234552">
        <w:rPr>
          <w:rFonts w:ascii="Times New Roman" w:hAnsi="Times New Roman"/>
          <w:sz w:val="24"/>
          <w:szCs w:val="24"/>
        </w:rPr>
        <w:t xml:space="preserve"> sufferers use acetaminophen to manage pain. Like all over-the-counter products, acetaminophen may present a health risk for some patients. Patients with liver disease, alcoholism or certain immune disorders should not use acetaminophen approval. Recently, </w:t>
      </w:r>
      <w:r w:rsidRPr="00234552">
        <w:rPr>
          <w:rFonts w:ascii="Times New Roman" w:hAnsi="Times New Roman"/>
          <w:sz w:val="24"/>
          <w:szCs w:val="24"/>
        </w:rPr>
        <w:lastRenderedPageBreak/>
        <w:t xml:space="preserve">acetaminophen use has been shown to be possibly hazardous to people having one or more alcoholic beverages daily. </w:t>
      </w:r>
      <w:r w:rsidRPr="00234552">
        <w:rPr>
          <w:rFonts w:ascii="Times New Roman" w:hAnsi="Times New Roman"/>
          <w:b/>
          <w:sz w:val="24"/>
          <w:szCs w:val="24"/>
        </w:rPr>
        <w:t xml:space="preserve"> </w:t>
      </w:r>
      <w:r w:rsidRPr="00234552">
        <w:rPr>
          <w:rFonts w:ascii="Times New Roman" w:hAnsi="Times New Roman"/>
          <w:sz w:val="24"/>
          <w:szCs w:val="24"/>
          <w:shd w:val="clear" w:color="auto" w:fill="FFFFFF"/>
        </w:rPr>
        <w:t>Methimazole ATD (</w:t>
      </w:r>
      <w:r w:rsidRPr="00234552">
        <w:rPr>
          <w:rFonts w:ascii="Times New Roman" w:hAnsi="Times New Roman"/>
          <w:sz w:val="24"/>
          <w:szCs w:val="24"/>
          <w:u w:color="FA5050"/>
          <w:shd w:val="clear" w:color="auto" w:fill="FFFFFF"/>
        </w:rPr>
        <w:t>antithyroid</w:t>
      </w:r>
      <w:r w:rsidRPr="00234552">
        <w:rPr>
          <w:rFonts w:ascii="Times New Roman" w:hAnsi="Times New Roman"/>
          <w:sz w:val="24"/>
          <w:szCs w:val="24"/>
          <w:shd w:val="clear" w:color="auto" w:fill="FFFFFF"/>
        </w:rPr>
        <w:t xml:space="preserve"> drugs) are used to help lower thyroid hormone levels in all </w:t>
      </w:r>
      <w:r w:rsidRPr="00234552">
        <w:rPr>
          <w:rFonts w:ascii="Times New Roman" w:hAnsi="Times New Roman"/>
          <w:sz w:val="24"/>
          <w:szCs w:val="24"/>
          <w:u w:color="FA5050"/>
          <w:shd w:val="clear" w:color="auto" w:fill="FFFFFF"/>
        </w:rPr>
        <w:t>can</w:t>
      </w:r>
      <w:r w:rsidRPr="00234552">
        <w:rPr>
          <w:rFonts w:ascii="Times New Roman" w:hAnsi="Times New Roman"/>
          <w:sz w:val="24"/>
          <w:szCs w:val="24"/>
          <w:shd w:val="clear" w:color="auto" w:fill="FFFFFF"/>
        </w:rPr>
        <w:t xml:space="preserve"> </w:t>
      </w:r>
      <w:r w:rsidRPr="00234552">
        <w:rPr>
          <w:rFonts w:ascii="Times New Roman" w:hAnsi="Times New Roman"/>
          <w:sz w:val="24"/>
          <w:szCs w:val="24"/>
          <w:u w:color="FA5050"/>
          <w:shd w:val="clear" w:color="auto" w:fill="FFFFFF"/>
        </w:rPr>
        <w:t>one</w:t>
      </w:r>
      <w:r w:rsidRPr="00234552">
        <w:rPr>
          <w:rFonts w:ascii="Times New Roman" w:hAnsi="Times New Roman"/>
          <w:sz w:val="24"/>
          <w:szCs w:val="24"/>
          <w:shd w:val="clear" w:color="auto" w:fill="FFFFFF"/>
        </w:rPr>
        <w:t xml:space="preserve"> recent Medline Update recommends ATD as the primary treatment for Graves disease. Common anti-thyroid drugs ATD include propylthiouracil PTU,</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methimazole and carbimazole. Carbimazole, which is primarily used outside of the United States, is essentially the same as</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 xml:space="preserve">methimazole. </w:t>
      </w:r>
      <w:r w:rsidRPr="00234552">
        <w:rPr>
          <w:rFonts w:ascii="Times New Roman" w:hAnsi="Times New Roman"/>
          <w:sz w:val="24"/>
          <w:szCs w:val="24"/>
          <w:u w:color="FA5050"/>
          <w:shd w:val="clear" w:color="auto" w:fill="FFFFFF"/>
        </w:rPr>
        <w:t>Of</w:t>
      </w:r>
      <w:r w:rsidRPr="00234552">
        <w:rPr>
          <w:rFonts w:ascii="Times New Roman" w:hAnsi="Times New Roman"/>
          <w:sz w:val="24"/>
          <w:szCs w:val="24"/>
          <w:shd w:val="clear" w:color="auto" w:fill="FFFFFF"/>
        </w:rPr>
        <w:t xml:space="preserve"> hyperthyroidism with the exception of thyroiditis.</w:t>
      </w:r>
      <w:r w:rsidRPr="00234552">
        <w:rPr>
          <w:rFonts w:ascii="Times New Roman" w:hAnsi="Times New Roman"/>
          <w:sz w:val="24"/>
          <w:szCs w:val="24"/>
        </w:rPr>
        <w:t xml:space="preserve"> </w:t>
      </w:r>
      <w:r w:rsidRPr="00234552">
        <w:rPr>
          <w:rFonts w:ascii="Times New Roman" w:hAnsi="Times New Roman"/>
          <w:sz w:val="24"/>
          <w:szCs w:val="24"/>
          <w:shd w:val="clear" w:color="auto" w:fill="FFFFFF"/>
        </w:rPr>
        <w:t>Methimazole</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is generally preferred over PTU since it has fewer side effects. However, because</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methimazole</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 xml:space="preserve">crosses the placental membrane more readily than PTU, PTU is recommended in pregnancy. In nursing mothers, a dose of </w:t>
      </w:r>
      <w:r w:rsidRPr="00234552">
        <w:rPr>
          <w:rFonts w:ascii="Times New Roman" w:hAnsi="Times New Roman"/>
          <w:sz w:val="24"/>
          <w:szCs w:val="24"/>
          <w:u w:color="FA5050"/>
          <w:shd w:val="clear" w:color="auto" w:fill="FFFFFF"/>
        </w:rPr>
        <w:t>20mg</w:t>
      </w:r>
      <w:r w:rsidRPr="00234552">
        <w:rPr>
          <w:rFonts w:ascii="Times New Roman" w:hAnsi="Times New Roman"/>
          <w:sz w:val="24"/>
          <w:szCs w:val="24"/>
          <w:shd w:val="clear" w:color="auto" w:fill="FFFFFF"/>
        </w:rPr>
        <w:t xml:space="preserve"> or less of</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methimazole</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can be used</w:t>
      </w:r>
      <w:r w:rsidR="00BF493D" w:rsidRPr="00234552">
        <w:rPr>
          <w:rFonts w:ascii="Times New Roman" w:hAnsi="Times New Roman"/>
          <w:sz w:val="24"/>
          <w:szCs w:val="24"/>
          <w:shd w:val="clear" w:color="auto" w:fill="FFFFFF"/>
        </w:rPr>
        <w:fldChar w:fldCharType="begin"/>
      </w:r>
      <w:r w:rsidR="00603006" w:rsidRPr="00234552">
        <w:rPr>
          <w:rFonts w:ascii="Times New Roman" w:hAnsi="Times New Roman"/>
          <w:sz w:val="24"/>
          <w:szCs w:val="24"/>
          <w:shd w:val="clear" w:color="auto" w:fill="FFFFFF"/>
        </w:rPr>
        <w:instrText xml:space="preserve"> ADDIN EN.CITE &lt;EndNote&gt;&lt;Cite&gt;&lt;Author&gt;Van Dijke&lt;/Author&gt;&lt;Year&gt;1987&lt;/Year&gt;&lt;RecNum&gt;1176&lt;/RecNum&gt;&lt;DisplayText&gt;[23, 24]&lt;/DisplayText&gt;&lt;record&gt;&lt;rec-number&gt;1176&lt;/rec-number&gt;&lt;foreign-keys&gt;&lt;key app="EN" db-id="5t9a0wevofsa0aersrpp9efbdaztxs2a2ze2" timestamp="1532550846"&gt;1176&lt;/key&gt;&lt;/foreign-keys&gt;&lt;ref-type name="Journal Article"&gt;17&lt;/ref-type&gt;&lt;contributors&gt;&lt;authors&gt;&lt;author&gt;Van Dijke, Cornelis P&lt;/author&gt;&lt;author&gt;Heydendael, Rob J&lt;/author&gt;&lt;author&gt;De Kleine, Martin J&lt;/author&gt;&lt;/authors&gt;&lt;/contributors&gt;&lt;titles&gt;&lt;title&gt;Methimazole, carbimazole, and congenital skin defects&lt;/title&gt;&lt;secondary-title&gt;Annals of internal medicine&lt;/secondary-title&gt;&lt;/titles&gt;&lt;periodical&gt;&lt;full-title&gt;Annals of internal medicine&lt;/full-title&gt;&lt;/periodical&gt;&lt;pages&gt;60-61&lt;/pages&gt;&lt;volume&gt;106&lt;/volume&gt;&lt;number&gt;1&lt;/number&gt;&lt;dates&gt;&lt;year&gt;1987&lt;/year&gt;&lt;/dates&gt;&lt;isbn&gt;0003-4819&lt;/isbn&gt;&lt;urls&gt;&lt;/urls&gt;&lt;/record&gt;&lt;/Cite&gt;&lt;Cite&gt;&lt;Author&gt;Milham Jr&lt;/Author&gt;&lt;Year&gt;1985&lt;/Year&gt;&lt;RecNum&gt;1177&lt;/RecNum&gt;&lt;record&gt;&lt;rec-number&gt;1177&lt;/rec-number&gt;&lt;foreign-keys&gt;&lt;key app="EN" db-id="5t9a0wevofsa0aersrpp9efbdaztxs2a2ze2" timestamp="1532550883"&gt;1177&lt;/key&gt;&lt;/foreign-keys&gt;&lt;ref-type name="Journal Article"&gt;17&lt;/ref-type&gt;&lt;contributors&gt;&lt;authors&gt;&lt;author&gt;Milham Jr, Samuel&lt;/author&gt;&lt;/authors&gt;&lt;/contributors&gt;&lt;titles&gt;&lt;title&gt;Scalp defects in infants of mothers treated for hyperthyroidism with methimazole or carbimazole during pregnancy&lt;/title&gt;&lt;secondary-title&gt;Teratology&lt;/secondary-title&gt;&lt;/titles&gt;&lt;periodical&gt;&lt;full-title&gt;Teratology&lt;/full-title&gt;&lt;/periodical&gt;&lt;pages&gt;321-321&lt;/pages&gt;&lt;volume&gt;32&lt;/volume&gt;&lt;number&gt;2&lt;/number&gt;&lt;dates&gt;&lt;year&gt;1985&lt;/year&gt;&lt;/dates&gt;&lt;isbn&gt;0040-3709&lt;/isbn&gt;&lt;urls&gt;&lt;/urls&gt;&lt;/record&gt;&lt;/Cite&gt;&lt;/EndNote&gt;</w:instrText>
      </w:r>
      <w:r w:rsidR="00BF493D" w:rsidRPr="00234552">
        <w:rPr>
          <w:rFonts w:ascii="Times New Roman" w:hAnsi="Times New Roman"/>
          <w:sz w:val="24"/>
          <w:szCs w:val="24"/>
          <w:shd w:val="clear" w:color="auto" w:fill="FFFFFF"/>
        </w:rPr>
        <w:fldChar w:fldCharType="separate"/>
      </w:r>
      <w:r w:rsidR="00603006" w:rsidRPr="00234552">
        <w:rPr>
          <w:rFonts w:ascii="Times New Roman" w:hAnsi="Times New Roman"/>
          <w:noProof/>
          <w:sz w:val="24"/>
          <w:szCs w:val="24"/>
          <w:shd w:val="clear" w:color="auto" w:fill="FFFFFF"/>
        </w:rPr>
        <w:t>[</w:t>
      </w:r>
      <w:hyperlink w:anchor="_ENREF_23" w:tooltip="Van Dijke, 1987 #1176" w:history="1">
        <w:r w:rsidR="00412F76" w:rsidRPr="00234552">
          <w:rPr>
            <w:rFonts w:ascii="Times New Roman" w:hAnsi="Times New Roman"/>
            <w:noProof/>
            <w:sz w:val="24"/>
            <w:szCs w:val="24"/>
            <w:shd w:val="clear" w:color="auto" w:fill="FFFFFF"/>
          </w:rPr>
          <w:t>23</w:t>
        </w:r>
      </w:hyperlink>
      <w:r w:rsidR="00603006" w:rsidRPr="00234552">
        <w:rPr>
          <w:rFonts w:ascii="Times New Roman" w:hAnsi="Times New Roman"/>
          <w:noProof/>
          <w:sz w:val="24"/>
          <w:szCs w:val="24"/>
          <w:shd w:val="clear" w:color="auto" w:fill="FFFFFF"/>
        </w:rPr>
        <w:t xml:space="preserve">, </w:t>
      </w:r>
      <w:hyperlink w:anchor="_ENREF_24" w:tooltip="Milham Jr, 1985 #1177" w:history="1">
        <w:r w:rsidR="00412F76" w:rsidRPr="00234552">
          <w:rPr>
            <w:rFonts w:ascii="Times New Roman" w:hAnsi="Times New Roman"/>
            <w:noProof/>
            <w:sz w:val="24"/>
            <w:szCs w:val="24"/>
            <w:shd w:val="clear" w:color="auto" w:fill="FFFFFF"/>
          </w:rPr>
          <w:t>24</w:t>
        </w:r>
      </w:hyperlink>
      <w:r w:rsidR="00603006" w:rsidRPr="00234552">
        <w:rPr>
          <w:rFonts w:ascii="Times New Roman" w:hAnsi="Times New Roman"/>
          <w:noProof/>
          <w:sz w:val="24"/>
          <w:szCs w:val="24"/>
          <w:shd w:val="clear" w:color="auto" w:fill="FFFFFF"/>
        </w:rPr>
        <w:t>]</w:t>
      </w:r>
      <w:r w:rsidR="00BF493D" w:rsidRPr="00234552">
        <w:rPr>
          <w:rFonts w:ascii="Times New Roman" w:hAnsi="Times New Roman"/>
          <w:sz w:val="24"/>
          <w:szCs w:val="24"/>
          <w:shd w:val="clear" w:color="auto" w:fill="FFFFFF"/>
        </w:rPr>
        <w:fldChar w:fldCharType="end"/>
      </w:r>
      <w:r w:rsidR="00603006" w:rsidRPr="00234552">
        <w:rPr>
          <w:rFonts w:ascii="Times New Roman" w:hAnsi="Times New Roman"/>
          <w:sz w:val="24"/>
          <w:szCs w:val="24"/>
          <w:shd w:val="clear" w:color="auto" w:fill="FFFFFF"/>
        </w:rPr>
        <w:t>.</w:t>
      </w:r>
    </w:p>
    <w:p w:rsidR="00ED57D9" w:rsidRPr="00234552" w:rsidRDefault="00253F6E" w:rsidP="00F8213A">
      <w:pPr>
        <w:pStyle w:val="NormalWeb"/>
        <w:shd w:val="clear" w:color="auto" w:fill="FFFFFF"/>
        <w:spacing w:before="120" w:beforeAutospacing="0" w:after="120" w:afterAutospacing="0" w:line="276" w:lineRule="auto"/>
        <w:rPr>
          <w:b/>
        </w:rPr>
      </w:pPr>
      <w:r w:rsidRPr="00234552">
        <w:rPr>
          <w:b/>
        </w:rPr>
        <w:t>MATERIALS AND METHODS</w:t>
      </w:r>
    </w:p>
    <w:p w:rsidR="007245A0" w:rsidRPr="00234552" w:rsidRDefault="00253F6E" w:rsidP="007C489A">
      <w:pPr>
        <w:pStyle w:val="NormalWeb"/>
        <w:shd w:val="clear" w:color="auto" w:fill="FFFFFF"/>
        <w:spacing w:before="120" w:beforeAutospacing="0" w:after="120" w:afterAutospacing="0" w:line="480" w:lineRule="auto"/>
        <w:ind w:firstLine="720"/>
        <w:jc w:val="both"/>
        <w:rPr>
          <w:b/>
        </w:rPr>
      </w:pPr>
      <w:r w:rsidRPr="00234552">
        <w:t xml:space="preserve">The structure of FCRL3were predation with the help of bioinformatics tools and </w:t>
      </w:r>
      <w:r w:rsidRPr="00234552">
        <w:rPr>
          <w:u w:color="FA5050"/>
        </w:rPr>
        <w:t>also docking</w:t>
      </w:r>
      <w:r w:rsidRPr="00234552">
        <w:t xml:space="preserve"> with selected antibiotics such as herbal drug use of Drug bank </w:t>
      </w:r>
      <w:r w:rsidR="00603006" w:rsidRPr="00234552">
        <w:t>(</w:t>
      </w:r>
      <w:r w:rsidRPr="00234552">
        <w:rPr>
          <w:rStyle w:val="Emphasis"/>
          <w:i w:val="0"/>
          <w:bdr w:val="none" w:sz="0" w:space="0" w:color="auto" w:frame="1"/>
        </w:rPr>
        <w:t>Acetaminophen</w:t>
      </w:r>
      <w:r w:rsidR="00603006" w:rsidRPr="00234552">
        <w:rPr>
          <w:rStyle w:val="Emphasis"/>
          <w:i w:val="0"/>
          <w:bdr w:val="none" w:sz="0" w:space="0" w:color="auto" w:frame="1"/>
        </w:rPr>
        <w:t>)</w:t>
      </w:r>
      <w:r w:rsidRPr="00234552">
        <w:t xml:space="preserve"> and allopathic The structure of FCRL3were predation with the help of bioinformatics tools and </w:t>
      </w:r>
      <w:r w:rsidRPr="00234552">
        <w:rPr>
          <w:u w:color="FA5050"/>
        </w:rPr>
        <w:t>also docking</w:t>
      </w:r>
      <w:r w:rsidRPr="00234552">
        <w:t xml:space="preserve"> drug use of </w:t>
      </w:r>
      <w:r w:rsidR="00603006" w:rsidRPr="00234552">
        <w:t>(</w:t>
      </w:r>
      <w:r w:rsidRPr="00234552">
        <w:t>Methimazo</w:t>
      </w:r>
      <w:r w:rsidR="00603006" w:rsidRPr="00234552">
        <w:t xml:space="preserve">le) were analyzed [Table 1, Figure </w:t>
      </w:r>
      <w:r w:rsidRPr="00234552">
        <w:t xml:space="preserve">2] Human FCRL3 Protein sequence was retrieved from the UNI-PROT protein sequence </w:t>
      </w:r>
      <w:r w:rsidRPr="00A34730">
        <w:rPr>
          <w:noProof/>
        </w:rPr>
        <w:t>database</w:t>
      </w:r>
      <w:r w:rsidRPr="00234552">
        <w:t xml:space="preserve">. By </w:t>
      </w:r>
      <w:r w:rsidRPr="00234552">
        <w:rPr>
          <w:u w:color="FA5050"/>
        </w:rPr>
        <w:t>use</w:t>
      </w:r>
      <w:r w:rsidRPr="00234552">
        <w:t xml:space="preserve"> of CFSSP the secondary structure was determined. The tertiary structure of FCRL3 was predicted by using CPU3.2 sever and visualized using </w:t>
      </w:r>
      <w:r w:rsidR="00A34730">
        <w:rPr>
          <w:noProof/>
        </w:rPr>
        <w:t>RasM</w:t>
      </w:r>
      <w:r w:rsidRPr="00A34730">
        <w:rPr>
          <w:noProof/>
        </w:rPr>
        <w:t>ol</w:t>
      </w:r>
      <w:r w:rsidRPr="00234552">
        <w:t xml:space="preserve">. The </w:t>
      </w:r>
      <w:r w:rsidRPr="00A34730">
        <w:rPr>
          <w:noProof/>
        </w:rPr>
        <w:t>Ram</w:t>
      </w:r>
      <w:r w:rsidR="00A34730">
        <w:rPr>
          <w:noProof/>
        </w:rPr>
        <w:t>a</w:t>
      </w:r>
      <w:r w:rsidRPr="00A34730">
        <w:rPr>
          <w:noProof/>
        </w:rPr>
        <w:t>chandran</w:t>
      </w:r>
      <w:r w:rsidRPr="00234552">
        <w:t xml:space="preserve"> plot was performed for FCRL3 by using Rampage software. CASTp predicted the active sites.</w:t>
      </w:r>
    </w:p>
    <w:p w:rsidR="00ED57D9" w:rsidRPr="00234552" w:rsidRDefault="00603006" w:rsidP="007C489A">
      <w:pPr>
        <w:pStyle w:val="NormalWeb"/>
        <w:shd w:val="clear" w:color="auto" w:fill="FFFFFF"/>
        <w:spacing w:before="120" w:beforeAutospacing="0" w:after="120" w:afterAutospacing="0" w:line="480" w:lineRule="auto"/>
        <w:jc w:val="both"/>
        <w:rPr>
          <w:b/>
        </w:rPr>
      </w:pPr>
      <w:r w:rsidRPr="00234552">
        <w:rPr>
          <w:b/>
        </w:rPr>
        <w:t>UNI PROT</w:t>
      </w:r>
    </w:p>
    <w:p w:rsidR="00253F6E" w:rsidRPr="00234552" w:rsidRDefault="00253F6E" w:rsidP="007C489A">
      <w:pPr>
        <w:pStyle w:val="NormalWeb"/>
        <w:shd w:val="clear" w:color="auto" w:fill="FFFFFF"/>
        <w:spacing w:before="120" w:beforeAutospacing="0" w:after="120" w:afterAutospacing="0" w:line="480" w:lineRule="auto"/>
        <w:ind w:firstLine="720"/>
        <w:jc w:val="both"/>
        <w:rPr>
          <w:b/>
        </w:rPr>
      </w:pPr>
      <w:r w:rsidRPr="00234552">
        <w:rPr>
          <w:shd w:val="clear" w:color="auto" w:fill="FFFFFF"/>
        </w:rPr>
        <w:t>The UniProt consortium comprises the</w:t>
      </w:r>
      <w:r w:rsidRPr="00234552">
        <w:rPr>
          <w:rStyle w:val="apple-converted-space"/>
          <w:shd w:val="clear" w:color="auto" w:fill="FFFFFF"/>
        </w:rPr>
        <w:t xml:space="preserve"> </w:t>
      </w:r>
      <w:r w:rsidRPr="00234552">
        <w:rPr>
          <w:shd w:val="clear" w:color="auto" w:fill="FFFFFF"/>
        </w:rPr>
        <w:t>European Bioinformatics Institute</w:t>
      </w:r>
      <w:r w:rsidRPr="00234552">
        <w:rPr>
          <w:rStyle w:val="apple-converted-space"/>
          <w:shd w:val="clear" w:color="auto" w:fill="FFFFFF"/>
        </w:rPr>
        <w:t xml:space="preserve"> </w:t>
      </w:r>
      <w:r w:rsidRPr="00234552">
        <w:rPr>
          <w:shd w:val="clear" w:color="auto" w:fill="FFFFFF"/>
        </w:rPr>
        <w:t>(EBI), the</w:t>
      </w:r>
      <w:r w:rsidRPr="00234552">
        <w:rPr>
          <w:rStyle w:val="apple-converted-space"/>
          <w:shd w:val="clear" w:color="auto" w:fill="FFFFFF"/>
        </w:rPr>
        <w:t> </w:t>
      </w:r>
      <w:r w:rsidRPr="00234552">
        <w:rPr>
          <w:shd w:val="clear" w:color="auto" w:fill="FFFFFF"/>
        </w:rPr>
        <w:t>Swiss Institute of Bioinformatics</w:t>
      </w:r>
      <w:r w:rsidRPr="00234552">
        <w:rPr>
          <w:rStyle w:val="apple-converted-space"/>
          <w:shd w:val="clear" w:color="auto" w:fill="FFFFFF"/>
        </w:rPr>
        <w:t xml:space="preserve"> </w:t>
      </w:r>
      <w:r w:rsidRPr="00234552">
        <w:rPr>
          <w:shd w:val="clear" w:color="auto" w:fill="FFFFFF"/>
        </w:rPr>
        <w:t>(SIB) and the</w:t>
      </w:r>
      <w:r w:rsidRPr="00234552">
        <w:rPr>
          <w:rStyle w:val="apple-converted-space"/>
          <w:shd w:val="clear" w:color="auto" w:fill="FFFFFF"/>
        </w:rPr>
        <w:t xml:space="preserve"> </w:t>
      </w:r>
      <w:r w:rsidRPr="00234552">
        <w:rPr>
          <w:shd w:val="clear" w:color="auto" w:fill="FFFFFF"/>
        </w:rPr>
        <w:t>Protein Information Resource</w:t>
      </w:r>
      <w:r w:rsidRPr="00234552">
        <w:rPr>
          <w:rStyle w:val="apple-converted-space"/>
          <w:shd w:val="clear" w:color="auto" w:fill="FFFFFF"/>
        </w:rPr>
        <w:t xml:space="preserve"> </w:t>
      </w:r>
      <w:r w:rsidRPr="00234552">
        <w:rPr>
          <w:shd w:val="clear" w:color="auto" w:fill="FFFFFF"/>
        </w:rPr>
        <w:t>(PIR). EBI, located at the</w:t>
      </w:r>
      <w:r w:rsidRPr="00234552">
        <w:rPr>
          <w:rStyle w:val="apple-converted-space"/>
          <w:shd w:val="clear" w:color="auto" w:fill="FFFFFF"/>
        </w:rPr>
        <w:t> </w:t>
      </w:r>
      <w:r w:rsidRPr="00234552">
        <w:rPr>
          <w:shd w:val="clear" w:color="auto" w:fill="FFFFFF"/>
        </w:rPr>
        <w:t>Wellcome Trust Genome Campus</w:t>
      </w:r>
      <w:r w:rsidRPr="00234552">
        <w:rPr>
          <w:rStyle w:val="apple-converted-space"/>
          <w:shd w:val="clear" w:color="auto" w:fill="FFFFFF"/>
        </w:rPr>
        <w:t xml:space="preserve"> </w:t>
      </w:r>
      <w:r w:rsidRPr="00234552">
        <w:rPr>
          <w:shd w:val="clear" w:color="auto" w:fill="FFFFFF"/>
        </w:rPr>
        <w:t>in Hinxton, UK, hosts a large resource of bioinformatics databases and services. SIB, located in Geneva, Switzerland, maintains the</w:t>
      </w:r>
      <w:r w:rsidRPr="00234552">
        <w:rPr>
          <w:rStyle w:val="apple-converted-space"/>
          <w:shd w:val="clear" w:color="auto" w:fill="FFFFFF"/>
        </w:rPr>
        <w:t xml:space="preserve"> </w:t>
      </w:r>
      <w:r w:rsidRPr="00234552">
        <w:rPr>
          <w:shd w:val="clear" w:color="auto" w:fill="FFFFFF"/>
        </w:rPr>
        <w:t xml:space="preserve">ExPASy servers that are a central resource for proteomics tools and databases </w:t>
      </w:r>
      <w:r w:rsidR="00BF493D" w:rsidRPr="00234552">
        <w:rPr>
          <w:shd w:val="clear" w:color="auto" w:fill="FFFFFF"/>
        </w:rPr>
        <w:fldChar w:fldCharType="begin"/>
      </w:r>
      <w:r w:rsidR="000C2186" w:rsidRPr="00234552">
        <w:rPr>
          <w:shd w:val="clear" w:color="auto" w:fill="FFFFFF"/>
        </w:rPr>
        <w:instrText xml:space="preserve"> ADDIN EN.CITE &lt;EndNote&gt;&lt;Cite&gt;&lt;Author&gt;Dayhoff&lt;/Author&gt;&lt;Year&gt;1965&lt;/Year&gt;&lt;RecNum&gt;1178&lt;/RecNum&gt;&lt;DisplayText&gt;[25]&lt;/DisplayText&gt;&lt;record&gt;&lt;rec-number&gt;1178&lt;/rec-number&gt;&lt;foreign-keys&gt;&lt;key app="EN" db-id="5t9a0wevofsa0aersrpp9efbdaztxs2a2ze2" timestamp="1532551086"&gt;1178&lt;/key&gt;&lt;/foreign-keys&gt;&lt;ref-type name="Journal Article"&gt;17&lt;/ref-type&gt;&lt;contributors&gt;&lt;authors&gt;&lt;author&gt;Dayhoff, Margaret O&lt;/author&gt;&lt;/authors&gt;&lt;/contributors&gt;&lt;titles&gt;&lt;title&gt;Atlas of protein sequence and structure&lt;/title&gt;&lt;/titles&gt;&lt;dates&gt;&lt;year&gt;1965&lt;/year&gt;&lt;/dates&gt;&lt;urls&gt;&lt;/urls&gt;&lt;/record&gt;&lt;/Cite&gt;&lt;/EndNote&gt;</w:instrText>
      </w:r>
      <w:r w:rsidR="00BF493D" w:rsidRPr="00234552">
        <w:rPr>
          <w:shd w:val="clear" w:color="auto" w:fill="FFFFFF"/>
        </w:rPr>
        <w:fldChar w:fldCharType="separate"/>
      </w:r>
      <w:r w:rsidR="000C2186" w:rsidRPr="00234552">
        <w:rPr>
          <w:noProof/>
          <w:shd w:val="clear" w:color="auto" w:fill="FFFFFF"/>
        </w:rPr>
        <w:t>[</w:t>
      </w:r>
      <w:hyperlink w:anchor="_ENREF_25" w:tooltip="Dayhoff, 1965 #1178" w:history="1">
        <w:r w:rsidR="00412F76" w:rsidRPr="00234552">
          <w:rPr>
            <w:noProof/>
            <w:shd w:val="clear" w:color="auto" w:fill="FFFFFF"/>
          </w:rPr>
          <w:t>25</w:t>
        </w:r>
      </w:hyperlink>
      <w:r w:rsidR="000C2186" w:rsidRPr="00234552">
        <w:rPr>
          <w:noProof/>
          <w:shd w:val="clear" w:color="auto" w:fill="FFFFFF"/>
        </w:rPr>
        <w:t>]</w:t>
      </w:r>
      <w:r w:rsidR="00BF493D" w:rsidRPr="00234552">
        <w:rPr>
          <w:shd w:val="clear" w:color="auto" w:fill="FFFFFF"/>
        </w:rPr>
        <w:fldChar w:fldCharType="end"/>
      </w:r>
      <w:r w:rsidRPr="00234552">
        <w:t xml:space="preserve">. </w:t>
      </w:r>
      <w:r w:rsidRPr="00234552">
        <w:rPr>
          <w:shd w:val="clear" w:color="auto" w:fill="FFFFFF"/>
        </w:rPr>
        <w:t xml:space="preserve">Margaret </w:t>
      </w:r>
      <w:r w:rsidRPr="00234552">
        <w:rPr>
          <w:shd w:val="clear" w:color="auto" w:fill="FFFFFF"/>
        </w:rPr>
        <w:lastRenderedPageBreak/>
        <w:t>Dayhoff's Atlas of Protein Sequence and Structure first published in 1965.</w:t>
      </w:r>
      <w:r w:rsidRPr="00234552">
        <w:rPr>
          <w:rStyle w:val="apple-converted-space"/>
          <w:shd w:val="clear" w:color="auto" w:fill="FFFFFF"/>
        </w:rPr>
        <w:t xml:space="preserve"> </w:t>
      </w:r>
      <w:r w:rsidRPr="00234552">
        <w:rPr>
          <w:shd w:val="clear" w:color="auto" w:fill="FFFFFF"/>
        </w:rPr>
        <w:t xml:space="preserve">In 2002, EBI, SIB and PIR joined forces as the UniProt consortium </w:t>
      </w:r>
      <w:r w:rsidR="00BF493D" w:rsidRPr="00234552">
        <w:rPr>
          <w:shd w:val="clear" w:color="auto" w:fill="FFFFFF"/>
        </w:rPr>
        <w:fldChar w:fldCharType="begin"/>
      </w:r>
      <w:r w:rsidR="000C2186" w:rsidRPr="00234552">
        <w:rPr>
          <w:shd w:val="clear" w:color="auto" w:fill="FFFFFF"/>
        </w:rPr>
        <w:instrText xml:space="preserve"> ADDIN EN.CITE &lt;EndNote&gt;&lt;Cite&gt;&lt;Author&gt;Baranov&lt;/Author&gt;&lt;Year&gt;2008&lt;/Year&gt;&lt;RecNum&gt;1179&lt;/RecNum&gt;&lt;DisplayText&gt;[26]&lt;/DisplayText&gt;&lt;record&gt;&lt;rec-number&gt;1179&lt;/rec-number&gt;&lt;foreign-keys&gt;&lt;key app="EN" db-id="5t9a0wevofsa0aersrpp9efbdaztxs2a2ze2" timestamp="1532551167"&gt;1179&lt;/key&gt;&lt;/foreign-keys&gt;&lt;ref-type name="Journal Article"&gt;17&lt;/ref-type&gt;&lt;contributors&gt;&lt;authors&gt;&lt;author&gt;Baranov, Konstantin&lt;/author&gt;&lt;author&gt;Volkova, Olga&lt;/author&gt;&lt;author&gt;Chikaev, Nikolai&lt;/author&gt;&lt;author&gt;Mechetina, Ludmila&lt;/author&gt;&lt;author&gt;Laktionov, Pavel&lt;/author&gt;&lt;author&gt;Najakshin, Alexander&lt;/author&gt;&lt;author&gt;Taranin, Alexander&lt;/author&gt;&lt;/authors&gt;&lt;/contributors&gt;&lt;titles&gt;&lt;title&gt;A direct antigen-binding assay for detection of antibodies against native epitopes using alkaline phosphatase-tagged proteins&lt;/title&gt;&lt;secondary-title&gt;Journal of immunological methods&lt;/secondary-title&gt;&lt;/titles&gt;&lt;periodical&gt;&lt;full-title&gt;Journal of immunological methods&lt;/full-title&gt;&lt;/periodical&gt;&lt;pages&gt;73-81&lt;/pages&gt;&lt;volume&gt;332&lt;/volume&gt;&lt;number&gt;1-2&lt;/number&gt;&lt;dates&gt;&lt;year&gt;2008&lt;/year&gt;&lt;/dates&gt;&lt;isbn&gt;0022-1759&lt;/isbn&gt;&lt;urls&gt;&lt;/urls&gt;&lt;/record&gt;&lt;/Cite&gt;&lt;/EndNote&gt;</w:instrText>
      </w:r>
      <w:r w:rsidR="00BF493D" w:rsidRPr="00234552">
        <w:rPr>
          <w:shd w:val="clear" w:color="auto" w:fill="FFFFFF"/>
        </w:rPr>
        <w:fldChar w:fldCharType="separate"/>
      </w:r>
      <w:r w:rsidR="000C2186" w:rsidRPr="00234552">
        <w:rPr>
          <w:noProof/>
          <w:shd w:val="clear" w:color="auto" w:fill="FFFFFF"/>
        </w:rPr>
        <w:t>[</w:t>
      </w:r>
      <w:hyperlink w:anchor="_ENREF_26" w:tooltip="Baranov, 2008 #1179" w:history="1">
        <w:r w:rsidR="00412F76" w:rsidRPr="00234552">
          <w:rPr>
            <w:noProof/>
            <w:shd w:val="clear" w:color="auto" w:fill="FFFFFF"/>
          </w:rPr>
          <w:t>26</w:t>
        </w:r>
      </w:hyperlink>
      <w:r w:rsidR="000C2186" w:rsidRPr="00234552">
        <w:rPr>
          <w:noProof/>
          <w:shd w:val="clear" w:color="auto" w:fill="FFFFFF"/>
        </w:rPr>
        <w:t>]</w:t>
      </w:r>
      <w:r w:rsidR="00BF493D" w:rsidRPr="00234552">
        <w:rPr>
          <w:shd w:val="clear" w:color="auto" w:fill="FFFFFF"/>
        </w:rPr>
        <w:fldChar w:fldCharType="end"/>
      </w:r>
      <w:r w:rsidRPr="00234552">
        <w:rPr>
          <w:shd w:val="clear" w:color="auto" w:fill="FFFFFF"/>
        </w:rPr>
        <w:t xml:space="preserve">. </w:t>
      </w:r>
      <w:r w:rsidRPr="00234552">
        <w:t xml:space="preserve">Fc receptor-like protein3 was selected as the candidate for the present study </w:t>
      </w:r>
      <w:r w:rsidRPr="00234552">
        <w:rPr>
          <w:u w:color="FA5050"/>
        </w:rPr>
        <w:t>the whole</w:t>
      </w:r>
      <w:r w:rsidRPr="00234552">
        <w:t xml:space="preserve"> complete protein sequence is available. The protein sequence of Fc receptor-like protein3 was collected from Uni –Prot protein sequence </w:t>
      </w:r>
      <w:r w:rsidRPr="00234552">
        <w:rPr>
          <w:u w:color="FA5050"/>
        </w:rPr>
        <w:t>database</w:t>
      </w:r>
      <w:r w:rsidRPr="00234552">
        <w:t xml:space="preserve">. </w:t>
      </w:r>
    </w:p>
    <w:p w:rsidR="005F08C3" w:rsidRPr="00234552" w:rsidRDefault="00253F6E" w:rsidP="007C489A">
      <w:pPr>
        <w:spacing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FAST</w:t>
      </w:r>
      <w:r w:rsidR="00603006" w:rsidRPr="00234552">
        <w:rPr>
          <w:rFonts w:ascii="Times New Roman" w:eastAsia="Times New Roman" w:hAnsi="Times New Roman"/>
          <w:b/>
          <w:sz w:val="24"/>
          <w:szCs w:val="24"/>
        </w:rPr>
        <w:t>A</w:t>
      </w:r>
    </w:p>
    <w:p w:rsidR="00253F6E" w:rsidRPr="00234552" w:rsidRDefault="00253F6E" w:rsidP="007C489A">
      <w:pPr>
        <w:spacing w:line="480" w:lineRule="auto"/>
        <w:ind w:firstLine="720"/>
        <w:jc w:val="both"/>
        <w:rPr>
          <w:rFonts w:ascii="Times New Roman" w:eastAsia="Times New Roman" w:hAnsi="Times New Roman"/>
          <w:b/>
          <w:sz w:val="24"/>
          <w:szCs w:val="24"/>
        </w:rPr>
      </w:pPr>
      <w:r w:rsidRPr="00234552">
        <w:rPr>
          <w:rFonts w:ascii="Times New Roman" w:hAnsi="Times New Roman"/>
          <w:bCs/>
          <w:sz w:val="24"/>
          <w:szCs w:val="24"/>
          <w:shd w:val="clear" w:color="auto" w:fill="FFFFFF"/>
        </w:rPr>
        <w:t>FASTA</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is a</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DNA</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and</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protein</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sequence alignment</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software package. Its legacy is the</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FASTA format</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which is now ubiquitous in</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 xml:space="preserve">bioinformatics. FASTA added the ability to do </w:t>
      </w:r>
      <w:r w:rsidRPr="00234552">
        <w:rPr>
          <w:rFonts w:ascii="Times New Roman" w:hAnsi="Times New Roman"/>
          <w:sz w:val="24"/>
          <w:szCs w:val="24"/>
          <w:u w:color="FA5050"/>
          <w:shd w:val="clear" w:color="auto" w:fill="FFFFFF"/>
        </w:rPr>
        <w:t xml:space="preserve">with DNA: </w:t>
      </w:r>
      <w:r w:rsidRPr="00234552">
        <w:rPr>
          <w:rFonts w:ascii="Times New Roman" w:hAnsi="Times New Roman"/>
          <w:sz w:val="24"/>
          <w:szCs w:val="24"/>
          <w:shd w:val="clear" w:color="auto" w:fill="FFFFFF"/>
        </w:rPr>
        <w:t xml:space="preserve">DNA searches, translated protein: DNA searches and also provided a more sophisticated shuffling program for evaluating statistical significance </w:t>
      </w:r>
      <w:r w:rsidR="00234552" w:rsidRPr="00234552">
        <w:rPr>
          <w:rFonts w:ascii="Times New Roman" w:hAnsi="Times New Roman"/>
          <w:sz w:val="24"/>
          <w:szCs w:val="24"/>
          <w:shd w:val="clear" w:color="auto" w:fill="FFFFFF"/>
        </w:rPr>
        <w:fldChar w:fldCharType="begin"/>
      </w:r>
      <w:r w:rsidR="00234552" w:rsidRPr="00234552">
        <w:rPr>
          <w:rFonts w:ascii="Times New Roman" w:hAnsi="Times New Roman"/>
          <w:sz w:val="24"/>
          <w:szCs w:val="24"/>
          <w:shd w:val="clear" w:color="auto" w:fill="FFFFFF"/>
        </w:rPr>
        <w:instrText xml:space="preserve"> ADDIN EN.CITE &lt;EndNote&gt;&lt;Cite&gt;&lt;Author&gt;Pearson&lt;/Author&gt;&lt;Year&gt;1988&lt;/Year&gt;&lt;RecNum&gt;1180&lt;/RecNum&gt;&lt;DisplayText&gt;[27]&lt;/DisplayText&gt;&lt;record&gt;&lt;rec-number&gt;1180&lt;/rec-number&gt;&lt;foreign-keys&gt;&lt;key app="EN" db-id="5t9a0wevofsa0aersrpp9efbdaztxs2a2ze2" timestamp="1532551677"&gt;1180&lt;/key&gt;&lt;/foreign-keys&gt;&lt;ref-type name="Journal Article"&gt;17&lt;/ref-type&gt;&lt;contributors&gt;&lt;authors&gt;&lt;author&gt;Pearson, William R&lt;/author&gt;&lt;author&gt;Lipman, David J&lt;/author&gt;&lt;/authors&gt;&lt;/contributors&gt;&lt;titles&gt;&lt;title&gt;Improved tools for biological sequence comparison&lt;/title&gt;&lt;secondary-title&gt;Proceedings of the National Academy of Sciences&lt;/secondary-title&gt;&lt;/titles&gt;&lt;periodical&gt;&lt;full-title&gt;Proceedings of the National Academy of Sciences&lt;/full-title&gt;&lt;/periodical&gt;&lt;pages&gt;2444-2448&lt;/pages&gt;&lt;volume&gt;85&lt;/volume&gt;&lt;number&gt;8&lt;/number&gt;&lt;dates&gt;&lt;year&gt;1988&lt;/year&gt;&lt;/dates&gt;&lt;isbn&gt;0027-8424&lt;/isbn&gt;&lt;urls&gt;&lt;/urls&gt;&lt;/record&gt;&lt;/Cite&gt;&lt;/EndNote&gt;</w:instrText>
      </w:r>
      <w:r w:rsidR="00234552" w:rsidRPr="00234552">
        <w:rPr>
          <w:rFonts w:ascii="Times New Roman" w:hAnsi="Times New Roman"/>
          <w:sz w:val="24"/>
          <w:szCs w:val="24"/>
          <w:shd w:val="clear" w:color="auto" w:fill="FFFFFF"/>
        </w:rPr>
        <w:fldChar w:fldCharType="separate"/>
      </w:r>
      <w:r w:rsidR="00234552" w:rsidRPr="00234552">
        <w:rPr>
          <w:rFonts w:ascii="Times New Roman" w:hAnsi="Times New Roman"/>
          <w:noProof/>
          <w:sz w:val="24"/>
          <w:szCs w:val="24"/>
          <w:shd w:val="clear" w:color="auto" w:fill="FFFFFF"/>
        </w:rPr>
        <w:t>[</w:t>
      </w:r>
      <w:hyperlink w:anchor="_ENREF_27" w:tooltip="Pearson, 1988 #1180" w:history="1">
        <w:r w:rsidR="00412F76" w:rsidRPr="00234552">
          <w:rPr>
            <w:rFonts w:ascii="Times New Roman" w:hAnsi="Times New Roman"/>
            <w:noProof/>
            <w:sz w:val="24"/>
            <w:szCs w:val="24"/>
            <w:shd w:val="clear" w:color="auto" w:fill="FFFFFF"/>
          </w:rPr>
          <w:t>27</w:t>
        </w:r>
      </w:hyperlink>
      <w:r w:rsidR="00234552" w:rsidRPr="00234552">
        <w:rPr>
          <w:rFonts w:ascii="Times New Roman" w:hAnsi="Times New Roman"/>
          <w:noProof/>
          <w:sz w:val="24"/>
          <w:szCs w:val="24"/>
          <w:shd w:val="clear" w:color="auto" w:fill="FFFFFF"/>
        </w:rPr>
        <w:t>]</w:t>
      </w:r>
      <w:r w:rsidR="00234552" w:rsidRPr="00234552">
        <w:rPr>
          <w:rFonts w:ascii="Times New Roman" w:hAnsi="Times New Roman"/>
          <w:sz w:val="24"/>
          <w:szCs w:val="24"/>
          <w:shd w:val="clear" w:color="auto" w:fill="FFFFFF"/>
        </w:rPr>
        <w:fldChar w:fldCharType="end"/>
      </w:r>
      <w:r w:rsidRPr="00234552">
        <w:rPr>
          <w:rFonts w:ascii="Times New Roman" w:hAnsi="Times New Roman"/>
          <w:sz w:val="24"/>
          <w:szCs w:val="24"/>
          <w:shd w:val="clear" w:color="auto" w:fill="FFFFFF"/>
        </w:rPr>
        <w:t>.</w:t>
      </w:r>
      <w:r w:rsidRPr="00234552">
        <w:rPr>
          <w:rFonts w:ascii="Times New Roman" w:eastAsia="Times New Roman" w:hAnsi="Times New Roman"/>
          <w:b/>
          <w:sz w:val="24"/>
          <w:szCs w:val="24"/>
        </w:rPr>
        <w:t xml:space="preserve"> </w:t>
      </w:r>
    </w:p>
    <w:p w:rsidR="005F08C3" w:rsidRPr="00234552" w:rsidRDefault="0060300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sz w:val="24"/>
          <w:szCs w:val="24"/>
        </w:rPr>
      </w:pPr>
      <w:r w:rsidRPr="00234552">
        <w:rPr>
          <w:rFonts w:ascii="Times New Roman" w:hAnsi="Times New Roman"/>
          <w:b/>
          <w:sz w:val="24"/>
          <w:szCs w:val="24"/>
        </w:rPr>
        <w:t>BLAST</w:t>
      </w:r>
    </w:p>
    <w:p w:rsidR="00253F6E" w:rsidRPr="00234552" w:rsidRDefault="005F08C3"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b/>
          <w:sz w:val="24"/>
          <w:szCs w:val="24"/>
        </w:rPr>
      </w:pPr>
      <w:r w:rsidRPr="00234552">
        <w:rPr>
          <w:rFonts w:ascii="Times New Roman" w:hAnsi="Times New Roman"/>
          <w:b/>
          <w:sz w:val="24"/>
          <w:szCs w:val="24"/>
        </w:rPr>
        <w:tab/>
      </w:r>
      <w:r w:rsidR="00253F6E" w:rsidRPr="00234552">
        <w:rPr>
          <w:rFonts w:ascii="Times New Roman" w:hAnsi="Times New Roman"/>
          <w:sz w:val="24"/>
          <w:szCs w:val="24"/>
          <w:shd w:val="clear" w:color="auto" w:fill="FFFFFF"/>
        </w:rPr>
        <w:t>In</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bioinformatics,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BLAST</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for</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B</w:t>
      </w:r>
      <w:r w:rsidR="00253F6E" w:rsidRPr="00234552">
        <w:rPr>
          <w:rFonts w:ascii="Times New Roman" w:hAnsi="Times New Roman"/>
          <w:sz w:val="24"/>
          <w:szCs w:val="24"/>
          <w:shd w:val="clear" w:color="auto" w:fill="FFFFFF"/>
        </w:rPr>
        <w:t>asic</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L</w:t>
      </w:r>
      <w:r w:rsidR="00253F6E" w:rsidRPr="00234552">
        <w:rPr>
          <w:rFonts w:ascii="Times New Roman" w:hAnsi="Times New Roman"/>
          <w:sz w:val="24"/>
          <w:szCs w:val="24"/>
          <w:shd w:val="clear" w:color="auto" w:fill="FFFFFF"/>
        </w:rPr>
        <w:t>ocal</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A</w:t>
      </w:r>
      <w:r w:rsidR="00253F6E" w:rsidRPr="00234552">
        <w:rPr>
          <w:rFonts w:ascii="Times New Roman" w:hAnsi="Times New Roman"/>
          <w:sz w:val="24"/>
          <w:szCs w:val="24"/>
          <w:shd w:val="clear" w:color="auto" w:fill="FFFFFF"/>
        </w:rPr>
        <w:t>lignment</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S</w:t>
      </w:r>
      <w:r w:rsidR="00253F6E" w:rsidRPr="00234552">
        <w:rPr>
          <w:rFonts w:ascii="Times New Roman" w:hAnsi="Times New Roman"/>
          <w:sz w:val="24"/>
          <w:szCs w:val="24"/>
          <w:shd w:val="clear" w:color="auto" w:fill="FFFFFF"/>
        </w:rPr>
        <w:t>earch</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T</w:t>
      </w:r>
      <w:r w:rsidR="00253F6E" w:rsidRPr="00234552">
        <w:rPr>
          <w:rFonts w:ascii="Times New Roman" w:hAnsi="Times New Roman"/>
          <w:sz w:val="24"/>
          <w:szCs w:val="24"/>
          <w:shd w:val="clear" w:color="auto" w:fill="FFFFFF"/>
        </w:rPr>
        <w:t>ool is an</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algorithm</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for comparing</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primary</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biological sequence information, such as 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amino-acid</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sequences of different</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proteins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or 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nucleotides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of</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DNA sequences. BLAST </w:t>
      </w:r>
      <w:r w:rsidR="00234552" w:rsidRPr="00234552">
        <w:rPr>
          <w:rFonts w:ascii="Times New Roman" w:hAnsi="Times New Roman"/>
          <w:sz w:val="24"/>
          <w:szCs w:val="24"/>
          <w:shd w:val="clear" w:color="auto" w:fill="FFFFFF"/>
        </w:rPr>
        <w:fldChar w:fldCharType="begin"/>
      </w:r>
      <w:r w:rsidR="00234552" w:rsidRPr="00234552">
        <w:rPr>
          <w:rFonts w:ascii="Times New Roman" w:hAnsi="Times New Roman"/>
          <w:sz w:val="24"/>
          <w:szCs w:val="24"/>
          <w:shd w:val="clear" w:color="auto" w:fill="FFFFFF"/>
        </w:rPr>
        <w:instrText xml:space="preserve"> ADDIN EN.CITE &lt;EndNote&gt;&lt;Cite&gt;&lt;Author&gt;Banach&lt;/Author&gt;&lt;Year&gt;2015&lt;/Year&gt;&lt;RecNum&gt;1181&lt;/RecNum&gt;&lt;DisplayText&gt;[28]&lt;/DisplayText&gt;&lt;record&gt;&lt;rec-number&gt;1181&lt;/rec-number&gt;&lt;foreign-keys&gt;&lt;key app="EN" db-id="5t9a0wevofsa0aersrpp9efbdaztxs2a2ze2" timestamp="1532551754"&gt;1181&lt;/key&gt;&lt;/foreign-keys&gt;&lt;ref-type name="Journal Article"&gt;17&lt;/ref-type&gt;&lt;contributors&gt;&lt;authors&gt;&lt;author&gt;Banach, Maciej&lt;/author&gt;&lt;author&gt;Aronow, Wilbert S&lt;/author&gt;&lt;author&gt;Serban, Corina&lt;/author&gt;&lt;author&gt;Sahabkar, Amirhossein&lt;/author&gt;&lt;author&gt;Rysz, Jacek&lt;/author&gt;&lt;author&gt;Voroneanu, Luminita&lt;/author&gt;&lt;author&gt;Covic, Adrian&lt;/author&gt;&lt;/authors&gt;&lt;/contributors&gt;&lt;titles&gt;&lt;title&gt;Lipids, blood pressure and kidney update 2014&lt;/title&gt;&lt;secondary-title&gt;Pharmacological research&lt;/secondary-title&gt;&lt;/titles&gt;&lt;periodical&gt;&lt;full-title&gt;Pharmacological research&lt;/full-title&gt;&lt;/periodical&gt;&lt;pages&gt;111-125&lt;/pages&gt;&lt;volume&gt;95&lt;/volume&gt;&lt;dates&gt;&lt;year&gt;2015&lt;/year&gt;&lt;/dates&gt;&lt;isbn&gt;1043-6618&lt;/isbn&gt;&lt;urls&gt;&lt;/urls&gt;&lt;/record&gt;&lt;/Cite&gt;&lt;/EndNote&gt;</w:instrText>
      </w:r>
      <w:r w:rsidR="00234552" w:rsidRPr="00234552">
        <w:rPr>
          <w:rFonts w:ascii="Times New Roman" w:hAnsi="Times New Roman"/>
          <w:sz w:val="24"/>
          <w:szCs w:val="24"/>
          <w:shd w:val="clear" w:color="auto" w:fill="FFFFFF"/>
        </w:rPr>
        <w:fldChar w:fldCharType="separate"/>
      </w:r>
      <w:r w:rsidR="00234552" w:rsidRPr="00234552">
        <w:rPr>
          <w:rFonts w:ascii="Times New Roman" w:hAnsi="Times New Roman"/>
          <w:noProof/>
          <w:sz w:val="24"/>
          <w:szCs w:val="24"/>
          <w:shd w:val="clear" w:color="auto" w:fill="FFFFFF"/>
        </w:rPr>
        <w:t>[</w:t>
      </w:r>
      <w:hyperlink w:anchor="_ENREF_28" w:tooltip="Banach, 2015 #1181" w:history="1">
        <w:r w:rsidR="00412F76" w:rsidRPr="00234552">
          <w:rPr>
            <w:rFonts w:ascii="Times New Roman" w:hAnsi="Times New Roman"/>
            <w:noProof/>
            <w:sz w:val="24"/>
            <w:szCs w:val="24"/>
            <w:shd w:val="clear" w:color="auto" w:fill="FFFFFF"/>
          </w:rPr>
          <w:t>28</w:t>
        </w:r>
      </w:hyperlink>
      <w:r w:rsidR="00234552" w:rsidRPr="00234552">
        <w:rPr>
          <w:rFonts w:ascii="Times New Roman" w:hAnsi="Times New Roman"/>
          <w:noProof/>
          <w:sz w:val="24"/>
          <w:szCs w:val="24"/>
          <w:shd w:val="clear" w:color="auto" w:fill="FFFFFF"/>
        </w:rPr>
        <w:t>]</w:t>
      </w:r>
      <w:r w:rsidR="00234552" w:rsidRPr="00234552">
        <w:rPr>
          <w:rFonts w:ascii="Times New Roman" w:hAnsi="Times New Roman"/>
          <w:sz w:val="24"/>
          <w:szCs w:val="24"/>
          <w:shd w:val="clear" w:color="auto" w:fill="FFFFFF"/>
        </w:rPr>
        <w:fldChar w:fldCharType="end"/>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and ORIS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algorithms. Results of KLAST are very similar to BLAST, but KLAST is significantly faster and capable of comparing large sets of sequences with a small memory footprint. </w:t>
      </w:r>
    </w:p>
    <w:p w:rsidR="005F08C3" w:rsidRPr="00234552" w:rsidRDefault="00253F6E" w:rsidP="007C489A">
      <w:pPr>
        <w:pStyle w:val="NormalWeb"/>
        <w:shd w:val="clear" w:color="auto" w:fill="FFFFFF"/>
        <w:spacing w:before="120" w:beforeAutospacing="0" w:after="120" w:afterAutospacing="0" w:line="480" w:lineRule="auto"/>
      </w:pPr>
      <w:r w:rsidRPr="00A34730">
        <w:rPr>
          <w:b/>
          <w:noProof/>
          <w:shd w:val="clear" w:color="auto" w:fill="FFFFFF"/>
        </w:rPr>
        <w:t>CLSTAL</w:t>
      </w:r>
      <w:r w:rsidRPr="00234552">
        <w:rPr>
          <w:b/>
          <w:shd w:val="clear" w:color="auto" w:fill="FFFFFF"/>
        </w:rPr>
        <w:t xml:space="preserve"> W2</w:t>
      </w:r>
    </w:p>
    <w:p w:rsidR="00253F6E" w:rsidRPr="00234552" w:rsidRDefault="00253F6E" w:rsidP="007C489A">
      <w:pPr>
        <w:pStyle w:val="NormalWeb"/>
        <w:shd w:val="clear" w:color="auto" w:fill="FFFFFF"/>
        <w:spacing w:before="120" w:beforeAutospacing="0" w:after="120" w:afterAutospacing="0" w:line="480" w:lineRule="auto"/>
        <w:ind w:firstLine="720"/>
        <w:jc w:val="both"/>
      </w:pPr>
      <w:r w:rsidRPr="00234552">
        <w:t xml:space="preserve">ClustalW2 is a fully automatic program for global multiple alignment of DNA or protein sequences </w:t>
      </w:r>
      <w:r w:rsidR="00234552" w:rsidRPr="00234552">
        <w:fldChar w:fldCharType="begin"/>
      </w:r>
      <w:r w:rsidR="00234552" w:rsidRPr="00234552">
        <w:instrText xml:space="preserve"> ADDIN EN.CITE &lt;EndNote&gt;&lt;Cite&gt;&lt;Author&gt;Larkin&lt;/Author&gt;&lt;Year&gt;2007&lt;/Year&gt;&lt;RecNum&gt;1182&lt;/RecNum&gt;&lt;DisplayText&gt;[29]&lt;/DisplayText&gt;&lt;record&gt;&lt;rec-number&gt;1182&lt;/rec-number&gt;&lt;foreign-keys&gt;&lt;key app="EN" db-id="5t9a0wevofsa0aersrpp9efbdaztxs2a2ze2" timestamp="1532551827"&gt;1182&lt;/key&gt;&lt;/foreign-keys&gt;&lt;ref-type name="Journal Article"&gt;17&lt;/ref-type&gt;&lt;contributors&gt;&lt;authors&gt;&lt;author&gt;Larkin, Mark A&lt;/author&gt;&lt;author&gt;Blackshields, Gordon&lt;/author&gt;&lt;author&gt;Brown, NP&lt;/author&gt;&lt;author&gt;Chenna, R&lt;/author&gt;&lt;author&gt;McGettigan, Paul A&lt;/author&gt;&lt;author&gt;McWilliam, Hamish&lt;/author&gt;&lt;author&gt;Valentin, Franck&lt;/author&gt;&lt;author&gt;Wallace, Iain M&lt;/author&gt;&lt;author&gt;Wilm, Andreas&lt;/author&gt;&lt;author&gt;Lopez, Rodrigo&lt;/author&gt;&lt;/authors&gt;&lt;/contributors&gt;&lt;titles&gt;&lt;title&gt;Clustal W and Clustal X version 2.0&lt;/title&gt;&lt;secondary-title&gt;bioinformatics&lt;/secondary-title&gt;&lt;/titles&gt;&lt;periodical&gt;&lt;full-title&gt;bioinformatics&lt;/full-title&gt;&lt;/periodical&gt;&lt;pages&gt;2947-2948&lt;/pages&gt;&lt;volume&gt;23&lt;/volume&gt;&lt;number&gt;21&lt;/number&gt;&lt;dates&gt;&lt;year&gt;2007&lt;/year&gt;&lt;/dates&gt;&lt;isbn&gt;1367-4803&lt;/isbn&gt;&lt;urls&gt;&lt;/urls&gt;&lt;/record&gt;&lt;/Cite&gt;&lt;/EndNote&gt;</w:instrText>
      </w:r>
      <w:r w:rsidR="00234552" w:rsidRPr="00234552">
        <w:fldChar w:fldCharType="separate"/>
      </w:r>
      <w:r w:rsidR="00234552" w:rsidRPr="00234552">
        <w:rPr>
          <w:noProof/>
        </w:rPr>
        <w:t>[</w:t>
      </w:r>
      <w:hyperlink w:anchor="_ENREF_29" w:tooltip="Larkin, 2007 #1182" w:history="1">
        <w:r w:rsidR="00412F76" w:rsidRPr="00234552">
          <w:rPr>
            <w:noProof/>
          </w:rPr>
          <w:t>29</w:t>
        </w:r>
      </w:hyperlink>
      <w:r w:rsidR="00234552" w:rsidRPr="00234552">
        <w:rPr>
          <w:noProof/>
        </w:rPr>
        <w:t>]</w:t>
      </w:r>
      <w:r w:rsidR="00234552" w:rsidRPr="00234552">
        <w:fldChar w:fldCharType="end"/>
      </w:r>
      <w:r w:rsidRPr="00234552">
        <w:rPr>
          <w:shd w:val="clear" w:color="auto" w:fill="FFFFFF"/>
        </w:rPr>
        <w:t xml:space="preserve">. </w:t>
      </w:r>
      <w:r w:rsidRPr="00234552">
        <w:t>The alignment is progressive and considers sequence redundancy</w:t>
      </w:r>
      <w:r w:rsidRPr="00234552">
        <w:rPr>
          <w:b/>
          <w:shd w:val="clear" w:color="auto" w:fill="FFFFFF"/>
        </w:rPr>
        <w:t>.</w:t>
      </w:r>
    </w:p>
    <w:p w:rsidR="005F08C3" w:rsidRPr="00234552" w:rsidRDefault="00253F6E" w:rsidP="007C489A">
      <w:pPr>
        <w:spacing w:line="480" w:lineRule="auto"/>
        <w:jc w:val="both"/>
        <w:rPr>
          <w:rFonts w:ascii="Times New Roman" w:hAnsi="Times New Roman"/>
          <w:sz w:val="24"/>
          <w:szCs w:val="24"/>
        </w:rPr>
      </w:pPr>
      <w:r w:rsidRPr="00234552">
        <w:rPr>
          <w:rFonts w:ascii="Times New Roman" w:eastAsia="Times New Roman" w:hAnsi="Times New Roman"/>
          <w:b/>
          <w:bCs/>
          <w:sz w:val="24"/>
          <w:szCs w:val="24"/>
        </w:rPr>
        <w:t>PROTPARAM</w:t>
      </w:r>
    </w:p>
    <w:p w:rsidR="00253F6E" w:rsidRPr="00234552" w:rsidRDefault="00253F6E" w:rsidP="007C489A">
      <w:pPr>
        <w:spacing w:line="480" w:lineRule="auto"/>
        <w:ind w:firstLine="720"/>
        <w:jc w:val="both"/>
        <w:rPr>
          <w:rFonts w:ascii="Times New Roman" w:hAnsi="Times New Roman"/>
          <w:sz w:val="24"/>
          <w:szCs w:val="24"/>
        </w:rPr>
      </w:pPr>
      <w:r w:rsidRPr="00234552">
        <w:rPr>
          <w:rFonts w:ascii="Times New Roman" w:eastAsia="Times New Roman" w:hAnsi="Times New Roman"/>
          <w:sz w:val="24"/>
          <w:szCs w:val="24"/>
        </w:rPr>
        <w:t xml:space="preserve">There are different tools available through ExPasy </w:t>
      </w:r>
      <w:r w:rsidRPr="00234552">
        <w:rPr>
          <w:rFonts w:ascii="Times New Roman" w:eastAsia="Times New Roman" w:hAnsi="Times New Roman"/>
          <w:sz w:val="24"/>
          <w:szCs w:val="24"/>
          <w:u w:color="FA5050"/>
        </w:rPr>
        <w:t>server</w:t>
      </w:r>
      <w:r w:rsidR="007A3821" w:rsidRPr="00234552">
        <w:rPr>
          <w:rFonts w:ascii="Times New Roman" w:eastAsia="Times New Roman" w:hAnsi="Times New Roman"/>
          <w:sz w:val="24"/>
          <w:szCs w:val="24"/>
        </w:rPr>
        <w:t xml:space="preserve"> to analyze a protein sequence</w:t>
      </w:r>
      <w:r w:rsidRPr="00234552">
        <w:rPr>
          <w:rFonts w:ascii="Times New Roman" w:eastAsia="Times New Roman" w:hAnsi="Times New Roman"/>
          <w:sz w:val="24"/>
          <w:szCs w:val="24"/>
        </w:rPr>
        <w:t xml:space="preserve"> ExPASy</w:t>
      </w:r>
      <w:r w:rsidR="007A3821" w:rsidRPr="00234552">
        <w:rPr>
          <w:rFonts w:ascii="Times New Roman" w:eastAsia="Times New Roman" w:hAnsi="Times New Roman"/>
          <w:sz w:val="24"/>
          <w:szCs w:val="24"/>
        </w:rPr>
        <w:t>.</w:t>
      </w:r>
      <w:r w:rsidRPr="00234552">
        <w:rPr>
          <w:rFonts w:ascii="Times New Roman" w:eastAsia="Times New Roman" w:hAnsi="Times New Roman"/>
          <w:sz w:val="24"/>
          <w:szCs w:val="24"/>
        </w:rPr>
        <w:t xml:space="preserve"> </w:t>
      </w:r>
    </w:p>
    <w:p w:rsidR="005F08C3" w:rsidRPr="00234552" w:rsidRDefault="0060300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b/>
          <w:sz w:val="24"/>
          <w:szCs w:val="24"/>
        </w:rPr>
      </w:pPr>
      <w:r w:rsidRPr="00234552">
        <w:rPr>
          <w:rFonts w:ascii="Times New Roman" w:eastAsia="Times New Roman" w:hAnsi="Times New Roman"/>
          <w:b/>
          <w:sz w:val="24"/>
          <w:szCs w:val="24"/>
        </w:rPr>
        <w:t>CFSSP</w:t>
      </w:r>
    </w:p>
    <w:p w:rsidR="00253F6E" w:rsidRPr="00234552" w:rsidRDefault="005F08C3"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lastRenderedPageBreak/>
        <w:tab/>
      </w:r>
      <w:r w:rsidR="00253F6E" w:rsidRPr="00234552">
        <w:rPr>
          <w:rFonts w:ascii="Times New Roman" w:hAnsi="Times New Roman"/>
          <w:sz w:val="24"/>
          <w:szCs w:val="24"/>
          <w:shd w:val="clear" w:color="auto" w:fill="FFFFFF"/>
        </w:rPr>
        <w:t>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bCs/>
          <w:sz w:val="24"/>
          <w:szCs w:val="24"/>
          <w:shd w:val="clear" w:color="auto" w:fill="FFFFFF"/>
        </w:rPr>
        <w:t>Chou–Fasman method</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is an empirical technique for 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prediction</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of secondary structures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in</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proteins, originally developed in the 1970s by Peter </w:t>
      </w:r>
      <w:r w:rsidR="00234552" w:rsidRPr="00234552">
        <w:rPr>
          <w:rFonts w:ascii="Times New Roman" w:hAnsi="Times New Roman"/>
          <w:sz w:val="24"/>
          <w:szCs w:val="24"/>
          <w:shd w:val="clear" w:color="auto" w:fill="FFFFFF"/>
        </w:rPr>
        <w:fldChar w:fldCharType="begin"/>
      </w:r>
      <w:r w:rsidR="00234552" w:rsidRPr="00234552">
        <w:rPr>
          <w:rFonts w:ascii="Times New Roman" w:hAnsi="Times New Roman"/>
          <w:sz w:val="24"/>
          <w:szCs w:val="24"/>
          <w:shd w:val="clear" w:color="auto" w:fill="FFFFFF"/>
        </w:rPr>
        <w:instrText xml:space="preserve"> ADDIN EN.CITE &lt;EndNote&gt;&lt;Cite&gt;&lt;Author&gt;Chou&lt;/Author&gt;&lt;Year&gt;1974&lt;/Year&gt;&lt;RecNum&gt;1183&lt;/RecNum&gt;&lt;DisplayText&gt;[30]&lt;/DisplayText&gt;&lt;record&gt;&lt;rec-number&gt;1183&lt;/rec-number&gt;&lt;foreign-keys&gt;&lt;key app="EN" db-id="5t9a0wevofsa0aersrpp9efbdaztxs2a2ze2" timestamp="1532551882"&gt;1183&lt;/key&gt;&lt;/foreign-keys&gt;&lt;ref-type name="Journal Article"&gt;17&lt;/ref-type&gt;&lt;contributors&gt;&lt;authors&gt;&lt;author&gt;Chou, Peter Y&lt;/author&gt;&lt;author&gt;Fasman, Gerald D&lt;/author&gt;&lt;/authors&gt;&lt;/contributors&gt;&lt;titles&gt;&lt;title&gt;Prediction of protein conformation&lt;/title&gt;&lt;secondary-title&gt;Biochemistry&lt;/secondary-title&gt;&lt;/titles&gt;&lt;periodical&gt;&lt;full-title&gt;Biochemistry&lt;/full-title&gt;&lt;/periodical&gt;&lt;pages&gt;222-245&lt;/pages&gt;&lt;volume&gt;13&lt;/volume&gt;&lt;number&gt;2&lt;/number&gt;&lt;dates&gt;&lt;year&gt;1974&lt;/year&gt;&lt;/dates&gt;&lt;isbn&gt;0006-2960&lt;/isbn&gt;&lt;urls&gt;&lt;/urls&gt;&lt;/record&gt;&lt;/Cite&gt;&lt;/EndNote&gt;</w:instrText>
      </w:r>
      <w:r w:rsidR="00234552" w:rsidRPr="00234552">
        <w:rPr>
          <w:rFonts w:ascii="Times New Roman" w:hAnsi="Times New Roman"/>
          <w:sz w:val="24"/>
          <w:szCs w:val="24"/>
          <w:shd w:val="clear" w:color="auto" w:fill="FFFFFF"/>
        </w:rPr>
        <w:fldChar w:fldCharType="separate"/>
      </w:r>
      <w:r w:rsidR="00234552" w:rsidRPr="00234552">
        <w:rPr>
          <w:rFonts w:ascii="Times New Roman" w:hAnsi="Times New Roman"/>
          <w:noProof/>
          <w:sz w:val="24"/>
          <w:szCs w:val="24"/>
          <w:shd w:val="clear" w:color="auto" w:fill="FFFFFF"/>
        </w:rPr>
        <w:t>[</w:t>
      </w:r>
      <w:hyperlink w:anchor="_ENREF_30" w:tooltip="Chou, 1974 #1183" w:history="1">
        <w:r w:rsidR="00412F76" w:rsidRPr="00234552">
          <w:rPr>
            <w:rFonts w:ascii="Times New Roman" w:hAnsi="Times New Roman"/>
            <w:noProof/>
            <w:sz w:val="24"/>
            <w:szCs w:val="24"/>
            <w:shd w:val="clear" w:color="auto" w:fill="FFFFFF"/>
          </w:rPr>
          <w:t>30</w:t>
        </w:r>
      </w:hyperlink>
      <w:r w:rsidR="00234552" w:rsidRPr="00234552">
        <w:rPr>
          <w:rFonts w:ascii="Times New Roman" w:hAnsi="Times New Roman"/>
          <w:noProof/>
          <w:sz w:val="24"/>
          <w:szCs w:val="24"/>
          <w:shd w:val="clear" w:color="auto" w:fill="FFFFFF"/>
        </w:rPr>
        <w:t>]</w:t>
      </w:r>
      <w:r w:rsidR="00234552" w:rsidRPr="00234552">
        <w:rPr>
          <w:rFonts w:ascii="Times New Roman" w:hAnsi="Times New Roman"/>
          <w:sz w:val="24"/>
          <w:szCs w:val="24"/>
          <w:shd w:val="clear" w:color="auto" w:fill="FFFFFF"/>
        </w:rPr>
        <w:fldChar w:fldCharType="end"/>
      </w:r>
      <w:r w:rsidR="00253F6E" w:rsidRPr="00234552">
        <w:rPr>
          <w:rFonts w:ascii="Times New Roman" w:hAnsi="Times New Roman"/>
          <w:sz w:val="24"/>
          <w:szCs w:val="24"/>
          <w:shd w:val="clear" w:color="auto" w:fill="FFFFFF"/>
        </w:rPr>
        <w:t>.</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From these frequencies a set of probability parameters were derived for the appearance of each amino acid in each secondary structure type and these parameters are used to predict 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probability</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that a given sequence of amino acids would form a helix, a beta strand, or a turn in a protein </w:t>
      </w:r>
      <w:r w:rsidR="00234552" w:rsidRPr="00234552">
        <w:rPr>
          <w:rFonts w:ascii="Times New Roman" w:hAnsi="Times New Roman"/>
          <w:sz w:val="24"/>
          <w:szCs w:val="24"/>
          <w:shd w:val="clear" w:color="auto" w:fill="FFFFFF"/>
        </w:rPr>
        <w:fldChar w:fldCharType="begin"/>
      </w:r>
      <w:r w:rsidR="00234552" w:rsidRPr="00234552">
        <w:rPr>
          <w:rFonts w:ascii="Times New Roman" w:hAnsi="Times New Roman"/>
          <w:sz w:val="24"/>
          <w:szCs w:val="24"/>
          <w:shd w:val="clear" w:color="auto" w:fill="FFFFFF"/>
        </w:rPr>
        <w:instrText xml:space="preserve"> ADDIN EN.CITE &lt;EndNote&gt;&lt;Cite&gt;&lt;Author&gt;Kabsch&lt;/Author&gt;&lt;Year&gt;1983&lt;/Year&gt;&lt;RecNum&gt;1184&lt;/RecNum&gt;&lt;DisplayText&gt;[31]&lt;/DisplayText&gt;&lt;record&gt;&lt;rec-number&gt;1184&lt;/rec-number&gt;&lt;foreign-keys&gt;&lt;key app="EN" db-id="5t9a0wevofsa0aersrpp9efbdaztxs2a2ze2" timestamp="1532551928"&gt;1184&lt;/key&gt;&lt;/foreign-keys&gt;&lt;ref-type name="Journal Article"&gt;17&lt;/ref-type&gt;&lt;contributors&gt;&lt;authors&gt;&lt;author&gt;Kabsch, Wolfgang&lt;/author&gt;&lt;author&gt;Sander, Christian&lt;/author&gt;&lt;/authors&gt;&lt;/contributors&gt;&lt;titles&gt;&lt;title&gt;How good are predictions of protein secondary structure?&lt;/title&gt;&lt;secondary-title&gt;FEBS letters&lt;/secondary-title&gt;&lt;/titles&gt;&lt;periodical&gt;&lt;full-title&gt;FEBS letters&lt;/full-title&gt;&lt;/periodical&gt;&lt;pages&gt;179-182&lt;/pages&gt;&lt;volume&gt;155&lt;/volume&gt;&lt;number&gt;2&lt;/number&gt;&lt;dates&gt;&lt;year&gt;1983&lt;/year&gt;&lt;/dates&gt;&lt;isbn&gt;1873-3468&lt;/isbn&gt;&lt;urls&gt;&lt;/urls&gt;&lt;/record&gt;&lt;/Cite&gt;&lt;/EndNote&gt;</w:instrText>
      </w:r>
      <w:r w:rsidR="00234552" w:rsidRPr="00234552">
        <w:rPr>
          <w:rFonts w:ascii="Times New Roman" w:hAnsi="Times New Roman"/>
          <w:sz w:val="24"/>
          <w:szCs w:val="24"/>
          <w:shd w:val="clear" w:color="auto" w:fill="FFFFFF"/>
        </w:rPr>
        <w:fldChar w:fldCharType="separate"/>
      </w:r>
      <w:r w:rsidR="00234552" w:rsidRPr="00234552">
        <w:rPr>
          <w:rFonts w:ascii="Times New Roman" w:hAnsi="Times New Roman"/>
          <w:noProof/>
          <w:sz w:val="24"/>
          <w:szCs w:val="24"/>
          <w:shd w:val="clear" w:color="auto" w:fill="FFFFFF"/>
        </w:rPr>
        <w:t>[</w:t>
      </w:r>
      <w:hyperlink w:anchor="_ENREF_31" w:tooltip="Kabsch, 1983 #1184" w:history="1">
        <w:r w:rsidR="00412F76" w:rsidRPr="00234552">
          <w:rPr>
            <w:rFonts w:ascii="Times New Roman" w:hAnsi="Times New Roman"/>
            <w:noProof/>
            <w:sz w:val="24"/>
            <w:szCs w:val="24"/>
            <w:shd w:val="clear" w:color="auto" w:fill="FFFFFF"/>
          </w:rPr>
          <w:t>31</w:t>
        </w:r>
      </w:hyperlink>
      <w:r w:rsidR="00234552" w:rsidRPr="00234552">
        <w:rPr>
          <w:rFonts w:ascii="Times New Roman" w:hAnsi="Times New Roman"/>
          <w:noProof/>
          <w:sz w:val="24"/>
          <w:szCs w:val="24"/>
          <w:shd w:val="clear" w:color="auto" w:fill="FFFFFF"/>
        </w:rPr>
        <w:t>]</w:t>
      </w:r>
      <w:r w:rsidR="00234552" w:rsidRPr="00234552">
        <w:rPr>
          <w:rFonts w:ascii="Times New Roman" w:hAnsi="Times New Roman"/>
          <w:sz w:val="24"/>
          <w:szCs w:val="24"/>
          <w:shd w:val="clear" w:color="auto" w:fill="FFFFFF"/>
        </w:rPr>
        <w:fldChar w:fldCharType="end"/>
      </w:r>
      <w:r w:rsidR="00253F6E" w:rsidRPr="00234552">
        <w:rPr>
          <w:rFonts w:ascii="Times New Roman" w:hAnsi="Times New Roman"/>
          <w:sz w:val="24"/>
          <w:szCs w:val="24"/>
          <w:shd w:val="clear" w:color="auto" w:fill="FFFFFF"/>
        </w:rPr>
        <w:t xml:space="preserve">. </w:t>
      </w:r>
      <w:r w:rsidR="00253F6E" w:rsidRPr="00234552">
        <w:rPr>
          <w:rFonts w:ascii="Times New Roman" w:eastAsia="Times New Roman" w:hAnsi="Times New Roman"/>
          <w:sz w:val="24"/>
          <w:szCs w:val="24"/>
          <w:u w:color="FA5050"/>
        </w:rPr>
        <w:t>Is</w:t>
      </w:r>
      <w:r w:rsidR="00253F6E" w:rsidRPr="00234552">
        <w:rPr>
          <w:rFonts w:ascii="Times New Roman" w:eastAsia="Times New Roman" w:hAnsi="Times New Roman"/>
          <w:sz w:val="24"/>
          <w:szCs w:val="24"/>
        </w:rPr>
        <w:t xml:space="preserve"> </w:t>
      </w:r>
      <w:r w:rsidR="00253F6E" w:rsidRPr="00234552">
        <w:rPr>
          <w:rFonts w:ascii="Times New Roman" w:eastAsia="Times New Roman" w:hAnsi="Times New Roman"/>
          <w:sz w:val="24"/>
          <w:szCs w:val="24"/>
          <w:u w:color="FA5050"/>
        </w:rPr>
        <w:t>SIB</w:t>
      </w:r>
      <w:r w:rsidR="00253F6E" w:rsidRPr="00234552">
        <w:rPr>
          <w:rFonts w:ascii="Times New Roman" w:eastAsia="Times New Roman" w:hAnsi="Times New Roman"/>
          <w:sz w:val="24"/>
          <w:szCs w:val="24"/>
        </w:rPr>
        <w:t xml:space="preserve"> Bioinformatics Resource Portal</w:t>
      </w:r>
      <w:r w:rsidR="00253F6E" w:rsidRPr="00234552">
        <w:rPr>
          <w:rFonts w:ascii="Times New Roman" w:eastAsia="Times New Roman" w:hAnsi="Times New Roman"/>
          <w:sz w:val="24"/>
          <w:szCs w:val="24"/>
          <w:u w:color="FA5050"/>
        </w:rPr>
        <w:t xml:space="preserve"> </w:t>
      </w:r>
      <w:r w:rsidR="00234552" w:rsidRPr="00234552">
        <w:rPr>
          <w:rFonts w:ascii="Times New Roman" w:eastAsia="Times New Roman" w:hAnsi="Times New Roman"/>
          <w:sz w:val="24"/>
          <w:szCs w:val="24"/>
          <w:u w:color="FA5050"/>
        </w:rPr>
        <w:t>t</w:t>
      </w:r>
      <w:r w:rsidR="00253F6E" w:rsidRPr="00234552">
        <w:rPr>
          <w:rFonts w:ascii="Times New Roman" w:hAnsi="Times New Roman"/>
          <w:sz w:val="24"/>
          <w:szCs w:val="24"/>
          <w:shd w:val="clear" w:color="auto" w:fill="FFFFFF"/>
        </w:rPr>
        <w:t>he method is at most about 50–60% accurate in identifying correct secondary structures,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which </w:t>
      </w:r>
      <w:r w:rsidR="00253F6E" w:rsidRPr="00234552">
        <w:rPr>
          <w:rFonts w:ascii="Times New Roman" w:hAnsi="Times New Roman"/>
          <w:sz w:val="24"/>
          <w:szCs w:val="24"/>
          <w:u w:color="FA5050"/>
          <w:shd w:val="clear" w:color="auto" w:fill="FFFFFF"/>
        </w:rPr>
        <w:t>are</w:t>
      </w:r>
      <w:r w:rsidR="00253F6E" w:rsidRPr="00234552">
        <w:rPr>
          <w:rFonts w:ascii="Times New Roman" w:hAnsi="Times New Roman"/>
          <w:sz w:val="24"/>
          <w:szCs w:val="24"/>
          <w:shd w:val="clear" w:color="auto" w:fill="FFFFFF"/>
        </w:rPr>
        <w:t xml:space="preserve"> significantly less accurate than the modern</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machine learning–based techniques</w:t>
      </w:r>
      <w:r w:rsidR="00253F6E" w:rsidRPr="00234552">
        <w:rPr>
          <w:rFonts w:ascii="Times New Roman" w:eastAsia="Times New Roman" w:hAnsi="Times New Roman"/>
          <w:sz w:val="24"/>
          <w:szCs w:val="24"/>
        </w:rPr>
        <w:t xml:space="preserve"> </w:t>
      </w:r>
      <w:r w:rsidR="00234552" w:rsidRPr="00234552">
        <w:rPr>
          <w:rFonts w:ascii="Times New Roman" w:eastAsia="Times New Roman" w:hAnsi="Times New Roman"/>
          <w:sz w:val="24"/>
          <w:szCs w:val="24"/>
        </w:rPr>
        <w:fldChar w:fldCharType="begin"/>
      </w:r>
      <w:r w:rsidR="00234552" w:rsidRPr="00234552">
        <w:rPr>
          <w:rFonts w:ascii="Times New Roman" w:eastAsia="Times New Roman" w:hAnsi="Times New Roman"/>
          <w:sz w:val="24"/>
          <w:szCs w:val="24"/>
        </w:rPr>
        <w:instrText xml:space="preserve"> ADDIN EN.CITE &lt;EndNote&gt;&lt;Cite&gt;&lt;Author&gt;Mount&lt;/Author&gt;&lt;Year&gt;2004&lt;/Year&gt;&lt;RecNum&gt;1185&lt;/RecNum&gt;&lt;DisplayText&gt;[32]&lt;/DisplayText&gt;&lt;record&gt;&lt;rec-number&gt;1185&lt;/rec-number&gt;&lt;foreign-keys&gt;&lt;key app="EN" db-id="5t9a0wevofsa0aersrpp9efbdaztxs2a2ze2" timestamp="1532551978"&gt;1185&lt;/key&gt;&lt;/foreign-keys&gt;&lt;ref-type name="Generic"&gt;13&lt;/ref-type&gt;&lt;contributors&gt;&lt;authors&gt;&lt;author&gt;Mount, DW&lt;/author&gt;&lt;/authors&gt;&lt;/contributors&gt;&lt;titles&gt;&lt;title&gt;Using hidden Markov model to align multiple sequences in: Bioinformatics: Sequence and Genome Analysis&lt;/title&gt;&lt;/titles&gt;&lt;dates&gt;&lt;year&gt;2004&lt;/year&gt;&lt;/dates&gt;&lt;publisher&gt;Cold Spring Harbor Protocols&lt;/publisher&gt;&lt;urls&gt;&lt;/urls&gt;&lt;/record&gt;&lt;/Cite&gt;&lt;/EndNote&gt;</w:instrText>
      </w:r>
      <w:r w:rsidR="00234552" w:rsidRPr="00234552">
        <w:rPr>
          <w:rFonts w:ascii="Times New Roman" w:eastAsia="Times New Roman" w:hAnsi="Times New Roman"/>
          <w:sz w:val="24"/>
          <w:szCs w:val="24"/>
        </w:rPr>
        <w:fldChar w:fldCharType="separate"/>
      </w:r>
      <w:r w:rsidR="00234552" w:rsidRPr="00234552">
        <w:rPr>
          <w:rFonts w:ascii="Times New Roman" w:eastAsia="Times New Roman" w:hAnsi="Times New Roman"/>
          <w:noProof/>
          <w:sz w:val="24"/>
          <w:szCs w:val="24"/>
        </w:rPr>
        <w:t>[</w:t>
      </w:r>
      <w:hyperlink w:anchor="_ENREF_32" w:tooltip="Mount, 2004 #1185" w:history="1">
        <w:r w:rsidR="00412F76" w:rsidRPr="00234552">
          <w:rPr>
            <w:rFonts w:ascii="Times New Roman" w:eastAsia="Times New Roman" w:hAnsi="Times New Roman"/>
            <w:noProof/>
            <w:sz w:val="24"/>
            <w:szCs w:val="24"/>
          </w:rPr>
          <w:t>32</w:t>
        </w:r>
      </w:hyperlink>
      <w:r w:rsidR="00234552" w:rsidRPr="00234552">
        <w:rPr>
          <w:rFonts w:ascii="Times New Roman" w:eastAsia="Times New Roman" w:hAnsi="Times New Roman"/>
          <w:noProof/>
          <w:sz w:val="24"/>
          <w:szCs w:val="24"/>
        </w:rPr>
        <w:t>]</w:t>
      </w:r>
      <w:r w:rsidR="00234552" w:rsidRPr="00234552">
        <w:rPr>
          <w:rFonts w:ascii="Times New Roman" w:eastAsia="Times New Roman" w:hAnsi="Times New Roman"/>
          <w:sz w:val="24"/>
          <w:szCs w:val="24"/>
        </w:rPr>
        <w:fldChar w:fldCharType="end"/>
      </w:r>
      <w:r w:rsidR="00253F6E" w:rsidRPr="00234552">
        <w:rPr>
          <w:rFonts w:ascii="Times New Roman" w:hAnsi="Times New Roman"/>
          <w:sz w:val="24"/>
          <w:szCs w:val="24"/>
          <w:shd w:val="clear" w:color="auto" w:fill="FFFFFF"/>
        </w:rPr>
        <w:t>.</w:t>
      </w:r>
      <w:r w:rsidR="00253F6E" w:rsidRPr="00234552">
        <w:rPr>
          <w:rFonts w:ascii="Times New Roman" w:hAnsi="Times New Roman"/>
          <w:sz w:val="24"/>
          <w:szCs w:val="24"/>
          <w:shd w:val="clear" w:color="auto" w:fill="FFFFFF"/>
          <w:vertAlign w:val="superscript"/>
        </w:rPr>
        <w:t xml:space="preserve"> </w:t>
      </w:r>
    </w:p>
    <w:p w:rsidR="005F08C3" w:rsidRPr="00234552" w:rsidRDefault="0060300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CPH MODELS</w:t>
      </w:r>
    </w:p>
    <w:p w:rsidR="00253F6E" w:rsidRPr="00234552" w:rsidRDefault="005F08C3"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ab/>
      </w:r>
      <w:r w:rsidR="00253F6E" w:rsidRPr="00234552">
        <w:rPr>
          <w:rFonts w:ascii="Times New Roman" w:eastAsia="Times New Roman" w:hAnsi="Times New Roman"/>
          <w:sz w:val="24"/>
          <w:szCs w:val="24"/>
        </w:rPr>
        <w:t xml:space="preserve">CPH </w:t>
      </w:r>
      <w:r w:rsidR="00253F6E" w:rsidRPr="00234552">
        <w:rPr>
          <w:rFonts w:ascii="Times New Roman" w:eastAsia="Times New Roman" w:hAnsi="Times New Roman"/>
          <w:sz w:val="24"/>
          <w:szCs w:val="24"/>
          <w:u w:color="FA5050"/>
        </w:rPr>
        <w:t>models</w:t>
      </w:r>
      <w:r w:rsidR="00253F6E" w:rsidRPr="00234552">
        <w:rPr>
          <w:rFonts w:ascii="Times New Roman" w:eastAsia="Times New Roman" w:hAnsi="Times New Roman"/>
          <w:sz w:val="24"/>
          <w:szCs w:val="24"/>
        </w:rPr>
        <w:t xml:space="preserve"> 3.2 </w:t>
      </w:r>
      <w:r w:rsidR="00253F6E" w:rsidRPr="00234552">
        <w:rPr>
          <w:rFonts w:ascii="Times New Roman" w:eastAsia="Times New Roman" w:hAnsi="Times New Roman"/>
          <w:sz w:val="24"/>
          <w:szCs w:val="24"/>
          <w:u w:color="FA5050"/>
        </w:rPr>
        <w:t>are</w:t>
      </w:r>
      <w:r w:rsidR="00253F6E" w:rsidRPr="00234552">
        <w:rPr>
          <w:rFonts w:ascii="Times New Roman" w:eastAsia="Times New Roman" w:hAnsi="Times New Roman"/>
          <w:sz w:val="24"/>
          <w:szCs w:val="24"/>
        </w:rPr>
        <w:t xml:space="preserve"> a protein </w:t>
      </w:r>
      <w:r w:rsidR="00253F6E" w:rsidRPr="00A34730">
        <w:rPr>
          <w:rFonts w:ascii="Times New Roman" w:eastAsia="Times New Roman" w:hAnsi="Times New Roman"/>
          <w:noProof/>
          <w:sz w:val="24"/>
          <w:szCs w:val="24"/>
        </w:rPr>
        <w:t>homology</w:t>
      </w:r>
      <w:r w:rsidR="00A34730">
        <w:rPr>
          <w:rFonts w:ascii="Times New Roman" w:eastAsia="Times New Roman" w:hAnsi="Times New Roman"/>
          <w:noProof/>
          <w:sz w:val="24"/>
          <w:szCs w:val="24"/>
        </w:rPr>
        <w:t>-</w:t>
      </w:r>
      <w:r w:rsidR="00253F6E" w:rsidRPr="00A34730">
        <w:rPr>
          <w:rFonts w:ascii="Times New Roman" w:eastAsia="Times New Roman" w:hAnsi="Times New Roman"/>
          <w:noProof/>
          <w:sz w:val="24"/>
          <w:szCs w:val="24"/>
        </w:rPr>
        <w:t>modeling</w:t>
      </w:r>
      <w:r w:rsidR="00253F6E" w:rsidRPr="00234552">
        <w:rPr>
          <w:rFonts w:ascii="Times New Roman" w:eastAsia="Times New Roman" w:hAnsi="Times New Roman"/>
          <w:sz w:val="24"/>
          <w:szCs w:val="24"/>
        </w:rPr>
        <w:t xml:space="preserve"> server. </w:t>
      </w:r>
      <w:r w:rsidR="00253F6E" w:rsidRPr="00234552">
        <w:rPr>
          <w:rFonts w:ascii="Times New Roman" w:eastAsia="Times New Roman" w:hAnsi="Times New Roman"/>
          <w:sz w:val="24"/>
          <w:szCs w:val="24"/>
          <w:u w:color="FA5050"/>
        </w:rPr>
        <w:t>Template</w:t>
      </w:r>
      <w:r w:rsidR="00253F6E" w:rsidRPr="00234552">
        <w:rPr>
          <w:rFonts w:ascii="Times New Roman" w:eastAsia="Times New Roman" w:hAnsi="Times New Roman"/>
          <w:sz w:val="24"/>
          <w:szCs w:val="24"/>
        </w:rPr>
        <w:t xml:space="preserve"> recognition is based on profile-profile alignment guided by </w:t>
      </w:r>
      <w:r w:rsidR="00253F6E" w:rsidRPr="00234552">
        <w:rPr>
          <w:rFonts w:ascii="Times New Roman" w:eastAsia="Times New Roman" w:hAnsi="Times New Roman"/>
          <w:sz w:val="24"/>
          <w:szCs w:val="24"/>
          <w:u w:color="FA5050"/>
        </w:rPr>
        <w:t>tertiary</w:t>
      </w:r>
      <w:r w:rsidR="00253F6E" w:rsidRPr="00234552">
        <w:rPr>
          <w:rFonts w:ascii="Times New Roman" w:eastAsia="Times New Roman" w:hAnsi="Times New Roman"/>
          <w:sz w:val="24"/>
          <w:szCs w:val="24"/>
        </w:rPr>
        <w:t xml:space="preserve"> structure and exposure predictions.</w:t>
      </w:r>
    </w:p>
    <w:p w:rsidR="005F08C3" w:rsidRPr="00234552" w:rsidRDefault="0060300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RASMOL</w:t>
      </w:r>
    </w:p>
    <w:p w:rsidR="00253F6E" w:rsidRPr="00234552" w:rsidRDefault="005F08C3"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ab/>
      </w:r>
      <w:r w:rsidR="00253F6E" w:rsidRPr="00A34730">
        <w:rPr>
          <w:rFonts w:ascii="Times New Roman" w:hAnsi="Times New Roman"/>
          <w:bCs/>
          <w:noProof/>
          <w:sz w:val="24"/>
          <w:szCs w:val="24"/>
          <w:shd w:val="clear" w:color="auto" w:fill="FFFFFF"/>
        </w:rPr>
        <w:t>Ras</w:t>
      </w:r>
      <w:r w:rsidR="00A34730">
        <w:rPr>
          <w:rFonts w:ascii="Times New Roman" w:hAnsi="Times New Roman"/>
          <w:bCs/>
          <w:noProof/>
          <w:sz w:val="24"/>
          <w:szCs w:val="24"/>
          <w:shd w:val="clear" w:color="auto" w:fill="FFFFFF"/>
        </w:rPr>
        <w:t>M</w:t>
      </w:r>
      <w:r w:rsidR="00253F6E" w:rsidRPr="00A34730">
        <w:rPr>
          <w:rFonts w:ascii="Times New Roman" w:hAnsi="Times New Roman"/>
          <w:bCs/>
          <w:noProof/>
          <w:sz w:val="24"/>
          <w:szCs w:val="24"/>
          <w:shd w:val="clear" w:color="auto" w:fill="FFFFFF"/>
        </w:rPr>
        <w:t>ol</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is a computer program written for</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molecular graphics</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visualization intended and used primarily for the depiction and exploration of</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biological macromolecule structures, such as those found in the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Protein Data Bank. It was originally developed by Roger Sayle</w:t>
      </w:r>
      <w:r w:rsidR="00253F6E" w:rsidRPr="00234552">
        <w:rPr>
          <w:rStyle w:val="apple-converted-space"/>
          <w:rFonts w:ascii="Times New Roman" w:hAnsi="Times New Roman"/>
          <w:sz w:val="24"/>
          <w:szCs w:val="24"/>
          <w:shd w:val="clear" w:color="auto" w:fill="FFFFFF"/>
        </w:rPr>
        <w:t xml:space="preserve"> </w:t>
      </w:r>
      <w:r w:rsidR="00253F6E" w:rsidRPr="00234552">
        <w:rPr>
          <w:rFonts w:ascii="Times New Roman" w:hAnsi="Times New Roman"/>
          <w:sz w:val="24"/>
          <w:szCs w:val="24"/>
          <w:shd w:val="clear" w:color="auto" w:fill="FFFFFF"/>
        </w:rPr>
        <w:t xml:space="preserve">in the early </w:t>
      </w:r>
      <w:r w:rsidR="00234552" w:rsidRPr="00234552">
        <w:rPr>
          <w:rFonts w:ascii="Times New Roman" w:hAnsi="Times New Roman"/>
          <w:sz w:val="24"/>
          <w:szCs w:val="24"/>
          <w:shd w:val="clear" w:color="auto" w:fill="FFFFFF"/>
        </w:rPr>
        <w:t xml:space="preserve">90s. </w:t>
      </w:r>
      <w:r w:rsidR="00253F6E" w:rsidRPr="00A34730">
        <w:rPr>
          <w:rFonts w:ascii="Times New Roman" w:hAnsi="Times New Roman"/>
          <w:noProof/>
          <w:sz w:val="24"/>
          <w:szCs w:val="24"/>
        </w:rPr>
        <w:t>Ras</w:t>
      </w:r>
      <w:r w:rsidR="00A34730">
        <w:rPr>
          <w:rFonts w:ascii="Times New Roman" w:hAnsi="Times New Roman"/>
          <w:noProof/>
          <w:sz w:val="24"/>
          <w:szCs w:val="24"/>
        </w:rPr>
        <w:t>M</w:t>
      </w:r>
      <w:r w:rsidR="00253F6E" w:rsidRPr="00A34730">
        <w:rPr>
          <w:rFonts w:ascii="Times New Roman" w:hAnsi="Times New Roman"/>
          <w:noProof/>
          <w:sz w:val="24"/>
          <w:szCs w:val="24"/>
        </w:rPr>
        <w:t>ol</w:t>
      </w:r>
      <w:r w:rsidR="00253F6E" w:rsidRPr="00234552">
        <w:rPr>
          <w:rFonts w:ascii="Times New Roman" w:hAnsi="Times New Roman"/>
          <w:sz w:val="24"/>
          <w:szCs w:val="24"/>
        </w:rPr>
        <w:t xml:space="preserve"> has a complex version history. Starting with the series of 2.7 versions Rasmol is licensed under a</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 xml:space="preserve">dual license. </w:t>
      </w:r>
      <w:r w:rsidR="00253F6E" w:rsidRPr="00A34730">
        <w:rPr>
          <w:rFonts w:ascii="Times New Roman" w:hAnsi="Times New Roman"/>
          <w:noProof/>
          <w:sz w:val="24"/>
          <w:szCs w:val="24"/>
        </w:rPr>
        <w:t>Ras</w:t>
      </w:r>
      <w:r w:rsidR="00A34730">
        <w:rPr>
          <w:rFonts w:ascii="Times New Roman" w:hAnsi="Times New Roman"/>
          <w:noProof/>
          <w:sz w:val="24"/>
          <w:szCs w:val="24"/>
        </w:rPr>
        <w:t>M</w:t>
      </w:r>
      <w:r w:rsidR="00253F6E" w:rsidRPr="00A34730">
        <w:rPr>
          <w:rFonts w:ascii="Times New Roman" w:hAnsi="Times New Roman"/>
          <w:noProof/>
          <w:sz w:val="24"/>
          <w:szCs w:val="24"/>
        </w:rPr>
        <w:t>ol</w:t>
      </w:r>
      <w:r w:rsidR="00253F6E" w:rsidRPr="00234552">
        <w:rPr>
          <w:rFonts w:ascii="Times New Roman" w:hAnsi="Times New Roman"/>
          <w:sz w:val="24"/>
          <w:szCs w:val="24"/>
        </w:rPr>
        <w:t xml:space="preserve"> includes a</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language</w:t>
      </w:r>
      <w:r w:rsidR="00234552" w:rsidRPr="00234552">
        <w:rPr>
          <w:rFonts w:ascii="Times New Roman" w:hAnsi="Times New Roman"/>
          <w:sz w:val="24"/>
          <w:szCs w:val="24"/>
        </w:rPr>
        <w:t xml:space="preserve"> </w:t>
      </w:r>
      <w:r w:rsidR="00234552" w:rsidRPr="00234552">
        <w:rPr>
          <w:rFonts w:ascii="Times New Roman" w:hAnsi="Times New Roman"/>
          <w:sz w:val="24"/>
          <w:szCs w:val="24"/>
        </w:rPr>
        <w:fldChar w:fldCharType="begin"/>
      </w:r>
      <w:r w:rsidR="00234552" w:rsidRPr="00234552">
        <w:rPr>
          <w:rFonts w:ascii="Times New Roman" w:hAnsi="Times New Roman"/>
          <w:sz w:val="24"/>
          <w:szCs w:val="24"/>
        </w:rPr>
        <w:instrText xml:space="preserve"> ADDIN EN.CITE &lt;EndNote&gt;&lt;Cite&gt;&lt;Author&gt;Bernstein&lt;/Author&gt;&lt;Year&gt;2000&lt;/Year&gt;&lt;RecNum&gt;1186&lt;/RecNum&gt;&lt;DisplayText&gt;[33]&lt;/DisplayText&gt;&lt;record&gt;&lt;rec-number&gt;1186&lt;/rec-number&gt;&lt;foreign-keys&gt;&lt;key app="EN" db-id="5t9a0wevofsa0aersrpp9efbdaztxs2a2ze2" timestamp="1532552052"&gt;1186&lt;/key&gt;&lt;/foreign-keys&gt;&lt;ref-type name="Journal Article"&gt;17&lt;/ref-type&gt;&lt;contributors&gt;&lt;authors&gt;&lt;author&gt;Bernstein, Herbert J&lt;/author&gt;&lt;/authors&gt;&lt;/contributors&gt;&lt;titles&gt;&lt;title&gt;Recent changes to RasMol, recombining the variants&lt;/title&gt;&lt;secondary-title&gt;Trends in biochemical sciences&lt;/secondary-title&gt;&lt;/titles&gt;&lt;periodical&gt;&lt;full-title&gt;Trends in biochemical sciences&lt;/full-title&gt;&lt;/periodical&gt;&lt;pages&gt;453-455&lt;/pages&gt;&lt;volume&gt;25&lt;/volume&gt;&lt;number&gt;9&lt;/number&gt;&lt;dates&gt;&lt;year&gt;2000&lt;/year&gt;&lt;/dates&gt;&lt;isbn&gt;0968-0004&lt;/isbn&gt;&lt;urls&gt;&lt;/urls&gt;&lt;/record&gt;&lt;/Cite&gt;&lt;/EndNote&gt;</w:instrText>
      </w:r>
      <w:r w:rsidR="00234552" w:rsidRPr="00234552">
        <w:rPr>
          <w:rFonts w:ascii="Times New Roman" w:hAnsi="Times New Roman"/>
          <w:sz w:val="24"/>
          <w:szCs w:val="24"/>
        </w:rPr>
        <w:fldChar w:fldCharType="separate"/>
      </w:r>
      <w:r w:rsidR="00234552" w:rsidRPr="00234552">
        <w:rPr>
          <w:rFonts w:ascii="Times New Roman" w:hAnsi="Times New Roman"/>
          <w:noProof/>
          <w:sz w:val="24"/>
          <w:szCs w:val="24"/>
        </w:rPr>
        <w:t>[</w:t>
      </w:r>
      <w:hyperlink w:anchor="_ENREF_33" w:tooltip="Bernstein, 2000 #1186" w:history="1">
        <w:r w:rsidR="00412F76" w:rsidRPr="00234552">
          <w:rPr>
            <w:rFonts w:ascii="Times New Roman" w:hAnsi="Times New Roman"/>
            <w:noProof/>
            <w:sz w:val="24"/>
            <w:szCs w:val="24"/>
          </w:rPr>
          <w:t>33</w:t>
        </w:r>
      </w:hyperlink>
      <w:r w:rsidR="00234552" w:rsidRPr="00234552">
        <w:rPr>
          <w:rFonts w:ascii="Times New Roman" w:hAnsi="Times New Roman"/>
          <w:noProof/>
          <w:sz w:val="24"/>
          <w:szCs w:val="24"/>
        </w:rPr>
        <w:t>]</w:t>
      </w:r>
      <w:r w:rsidR="00234552" w:rsidRPr="00234552">
        <w:rPr>
          <w:rFonts w:ascii="Times New Roman" w:hAnsi="Times New Roman"/>
          <w:sz w:val="24"/>
          <w:szCs w:val="24"/>
        </w:rPr>
        <w:fldChar w:fldCharType="end"/>
      </w:r>
      <w:r w:rsidR="00253F6E" w:rsidRPr="00234552">
        <w:rPr>
          <w:rStyle w:val="apple-converted-space"/>
          <w:rFonts w:ascii="Times New Roman" w:hAnsi="Times New Roman"/>
          <w:sz w:val="24"/>
          <w:szCs w:val="24"/>
        </w:rPr>
        <w:t>.</w:t>
      </w:r>
    </w:p>
    <w:p w:rsidR="00253F6E" w:rsidRPr="00234552" w:rsidRDefault="00253F6E"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p>
    <w:p w:rsidR="00F660C6" w:rsidRPr="00234552" w:rsidRDefault="0060300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RAMACHANDRAN PLOT</w:t>
      </w:r>
    </w:p>
    <w:p w:rsidR="00253F6E" w:rsidRPr="00234552" w:rsidRDefault="00F660C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ab/>
      </w:r>
      <w:r w:rsidR="00253F6E" w:rsidRPr="00234552">
        <w:rPr>
          <w:rStyle w:val="apple-converted-space"/>
          <w:rFonts w:ascii="Times New Roman" w:hAnsi="Times New Roman"/>
          <w:sz w:val="24"/>
          <w:szCs w:val="24"/>
        </w:rPr>
        <w:t xml:space="preserve"> </w:t>
      </w:r>
      <w:r w:rsidR="00253F6E" w:rsidRPr="00234552">
        <w:rPr>
          <w:rFonts w:ascii="Times New Roman" w:hAnsi="Times New Roman"/>
          <w:bCs/>
          <w:sz w:val="24"/>
          <w:szCs w:val="24"/>
        </w:rPr>
        <w:t>Ramachandran plot</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 xml:space="preserve">(also known as </w:t>
      </w:r>
      <w:r w:rsidR="00253F6E" w:rsidRPr="00234552">
        <w:rPr>
          <w:rStyle w:val="apple-converted-space"/>
          <w:rFonts w:ascii="Times New Roman" w:hAnsi="Times New Roman"/>
          <w:sz w:val="24"/>
          <w:szCs w:val="24"/>
        </w:rPr>
        <w:t xml:space="preserve"> </w:t>
      </w:r>
      <w:r w:rsidR="00253F6E" w:rsidRPr="00234552">
        <w:rPr>
          <w:rFonts w:ascii="Times New Roman" w:hAnsi="Times New Roman"/>
          <w:bCs/>
          <w:sz w:val="24"/>
          <w:szCs w:val="24"/>
        </w:rPr>
        <w:t>Ramachandran diagram</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or a</w:t>
      </w:r>
      <w:r w:rsidR="00253F6E" w:rsidRPr="00234552">
        <w:rPr>
          <w:rStyle w:val="apple-converted-space"/>
          <w:rFonts w:ascii="Times New Roman" w:hAnsi="Times New Roman"/>
          <w:sz w:val="24"/>
          <w:szCs w:val="24"/>
        </w:rPr>
        <w:t xml:space="preserve"> </w:t>
      </w:r>
      <w:r w:rsidR="00253F6E" w:rsidRPr="00234552">
        <w:rPr>
          <w:rFonts w:ascii="Times New Roman" w:hAnsi="Times New Roman"/>
          <w:bCs/>
          <w:sz w:val="24"/>
          <w:szCs w:val="24"/>
        </w:rPr>
        <w:t>[φ</w:t>
      </w:r>
      <w:r w:rsidR="00253F6E" w:rsidRPr="00234552">
        <w:rPr>
          <w:rFonts w:ascii="Times New Roman" w:hAnsi="Times New Roman"/>
          <w:bCs/>
          <w:sz w:val="24"/>
          <w:szCs w:val="24"/>
          <w:u w:color="FA5050"/>
        </w:rPr>
        <w:t xml:space="preserve">, </w:t>
      </w:r>
      <w:r w:rsidR="00253F6E" w:rsidRPr="00234552">
        <w:rPr>
          <w:rFonts w:ascii="Times New Roman" w:hAnsi="Times New Roman"/>
          <w:bCs/>
          <w:sz w:val="24"/>
          <w:szCs w:val="24"/>
        </w:rPr>
        <w:t>ψ] plot</w:t>
      </w:r>
      <w:r w:rsidR="00253F6E" w:rsidRPr="00234552">
        <w:rPr>
          <w:rFonts w:ascii="Times New Roman" w:hAnsi="Times New Roman"/>
          <w:sz w:val="24"/>
          <w:szCs w:val="24"/>
        </w:rPr>
        <w:t xml:space="preserve">), originally developed in 1963 </w:t>
      </w:r>
      <w:r w:rsidR="00234552" w:rsidRPr="00234552">
        <w:rPr>
          <w:rFonts w:ascii="Times New Roman" w:hAnsi="Times New Roman"/>
          <w:sz w:val="24"/>
          <w:szCs w:val="24"/>
        </w:rPr>
        <w:fldChar w:fldCharType="begin"/>
      </w:r>
      <w:r w:rsidR="00234552" w:rsidRPr="00234552">
        <w:rPr>
          <w:rFonts w:ascii="Times New Roman" w:hAnsi="Times New Roman"/>
          <w:sz w:val="24"/>
          <w:szCs w:val="24"/>
        </w:rPr>
        <w:instrText xml:space="preserve"> ADDIN EN.CITE &lt;EndNote&gt;&lt;Cite&gt;&lt;Author&gt;Yousef&lt;/Author&gt;&lt;Year&gt;2017&lt;/Year&gt;&lt;RecNum&gt;1187&lt;/RecNum&gt;&lt;DisplayText&gt;[34]&lt;/DisplayText&gt;&lt;record&gt;&lt;rec-number&gt;1187&lt;/rec-number&gt;&lt;foreign-keys&gt;&lt;key app="EN" db-id="5t9a0wevofsa0aersrpp9efbdaztxs2a2ze2" timestamp="1532552128"&gt;1187&lt;/key&gt;&lt;/foreign-keys&gt;&lt;ref-type name="Conference Proceedings"&gt;10&lt;/ref-type&gt;&lt;contributors&gt;&lt;authors&gt;&lt;author&gt;Yousef, Mohamad&lt;/author&gt;&lt;author&gt;Abdelkader, Tamer&lt;/author&gt;&lt;author&gt;ElBahnasy, Khaled&lt;/author&gt;&lt;/authors&gt;&lt;/contributors&gt;&lt;titles&gt;&lt;title&gt;A hybrid model to predict proteins tertiary structure&lt;/title&gt;&lt;secondary-title&gt;Computer Engineering and Systems (ICCES), 2017 12th International Conference on&lt;/secondary-title&gt;&lt;/titles&gt;&lt;pages&gt;85-91&lt;/pages&gt;&lt;dates&gt;&lt;year&gt;2017&lt;/year&gt;&lt;/dates&gt;&lt;publisher&gt;IEEE&lt;/publisher&gt;&lt;isbn&gt;1538611910&lt;/isbn&gt;&lt;urls&gt;&lt;/urls&gt;&lt;/record&gt;&lt;/Cite&gt;&lt;/EndNote&gt;</w:instrText>
      </w:r>
      <w:r w:rsidR="00234552" w:rsidRPr="00234552">
        <w:rPr>
          <w:rFonts w:ascii="Times New Roman" w:hAnsi="Times New Roman"/>
          <w:sz w:val="24"/>
          <w:szCs w:val="24"/>
        </w:rPr>
        <w:fldChar w:fldCharType="separate"/>
      </w:r>
      <w:r w:rsidR="00234552" w:rsidRPr="00234552">
        <w:rPr>
          <w:rFonts w:ascii="Times New Roman" w:hAnsi="Times New Roman"/>
          <w:noProof/>
          <w:sz w:val="24"/>
          <w:szCs w:val="24"/>
        </w:rPr>
        <w:t>[</w:t>
      </w:r>
      <w:hyperlink w:anchor="_ENREF_34" w:tooltip="Yousef, 2017 #1187" w:history="1">
        <w:r w:rsidR="00412F76" w:rsidRPr="00234552">
          <w:rPr>
            <w:rFonts w:ascii="Times New Roman" w:hAnsi="Times New Roman"/>
            <w:noProof/>
            <w:sz w:val="24"/>
            <w:szCs w:val="24"/>
          </w:rPr>
          <w:t>34</w:t>
        </w:r>
      </w:hyperlink>
      <w:r w:rsidR="00234552" w:rsidRPr="00234552">
        <w:rPr>
          <w:rFonts w:ascii="Times New Roman" w:hAnsi="Times New Roman"/>
          <w:noProof/>
          <w:sz w:val="24"/>
          <w:szCs w:val="24"/>
        </w:rPr>
        <w:t>]</w:t>
      </w:r>
      <w:r w:rsidR="00234552" w:rsidRPr="00234552">
        <w:rPr>
          <w:rFonts w:ascii="Times New Roman" w:hAnsi="Times New Roman"/>
          <w:sz w:val="24"/>
          <w:szCs w:val="24"/>
        </w:rPr>
        <w:fldChar w:fldCharType="end"/>
      </w:r>
      <w:r w:rsidR="00253F6E" w:rsidRPr="00234552">
        <w:rPr>
          <w:rFonts w:ascii="Times New Roman" w:hAnsi="Times New Roman"/>
          <w:sz w:val="24"/>
          <w:szCs w:val="24"/>
        </w:rPr>
        <w:t>.</w:t>
      </w:r>
      <w:r w:rsidR="00253F6E" w:rsidRPr="00234552">
        <w:rPr>
          <w:rFonts w:ascii="Times New Roman" w:hAnsi="Times New Roman"/>
          <w:sz w:val="24"/>
          <w:szCs w:val="24"/>
          <w:vertAlign w:val="superscript"/>
        </w:rPr>
        <w:t xml:space="preserve">  </w:t>
      </w:r>
      <w:r w:rsidR="00F80BBE" w:rsidRPr="00234552">
        <w:rPr>
          <w:rFonts w:ascii="Times New Roman" w:hAnsi="Times New Roman"/>
          <w:sz w:val="24"/>
          <w:szCs w:val="24"/>
          <w:vertAlign w:val="superscript"/>
        </w:rPr>
        <w:t xml:space="preserve">  </w:t>
      </w:r>
      <w:r w:rsidR="00F80BBE" w:rsidRPr="00234552">
        <w:rPr>
          <w:rFonts w:ascii="Times New Roman" w:hAnsi="Times New Roman"/>
          <w:sz w:val="24"/>
          <w:szCs w:val="24"/>
        </w:rPr>
        <w:t xml:space="preserve">It </w:t>
      </w:r>
      <w:r w:rsidR="002A0327" w:rsidRPr="00234552">
        <w:rPr>
          <w:rFonts w:ascii="Times New Roman" w:hAnsi="Times New Roman"/>
          <w:sz w:val="24"/>
          <w:szCs w:val="24"/>
        </w:rPr>
        <w:t>is</w:t>
      </w:r>
      <w:r w:rsidR="002A0327" w:rsidRPr="00234552">
        <w:rPr>
          <w:rFonts w:ascii="Times New Roman" w:hAnsi="Times New Roman"/>
          <w:sz w:val="24"/>
          <w:szCs w:val="24"/>
          <w:vertAlign w:val="superscript"/>
        </w:rPr>
        <w:t xml:space="preserve"> </w:t>
      </w:r>
      <w:r w:rsidR="002A0327" w:rsidRPr="00234552">
        <w:rPr>
          <w:rFonts w:ascii="Times New Roman" w:hAnsi="Times New Roman"/>
          <w:sz w:val="24"/>
          <w:szCs w:val="24"/>
        </w:rPr>
        <w:t>a</w:t>
      </w:r>
      <w:r w:rsidR="00253F6E" w:rsidRPr="00234552">
        <w:rPr>
          <w:rFonts w:ascii="Times New Roman" w:hAnsi="Times New Roman"/>
          <w:sz w:val="24"/>
          <w:szCs w:val="24"/>
        </w:rPr>
        <w:t xml:space="preserve"> way to visualize backbone</w:t>
      </w:r>
      <w:r w:rsidR="00253F6E" w:rsidRPr="00234552">
        <w:rPr>
          <w:rStyle w:val="apple-converted-space"/>
          <w:rFonts w:ascii="Times New Roman" w:hAnsi="Times New Roman"/>
          <w:sz w:val="24"/>
          <w:szCs w:val="24"/>
        </w:rPr>
        <w:t xml:space="preserve"> </w:t>
      </w:r>
      <w:r w:rsidR="00234552" w:rsidRPr="00234552">
        <w:rPr>
          <w:rFonts w:ascii="Times New Roman" w:hAnsi="Times New Roman"/>
          <w:sz w:val="24"/>
          <w:szCs w:val="24"/>
        </w:rPr>
        <w:t>dihedral angles</w:t>
      </w:r>
      <w:r w:rsidR="00253F6E" w:rsidRPr="00234552">
        <w:rPr>
          <w:rFonts w:ascii="Times New Roman" w:hAnsi="Times New Roman"/>
          <w:sz w:val="24"/>
          <w:szCs w:val="24"/>
        </w:rPr>
        <w:t xml:space="preserve">. </w:t>
      </w:r>
      <w:r w:rsidR="00253F6E" w:rsidRPr="00234552">
        <w:rPr>
          <w:rFonts w:ascii="Times New Roman" w:hAnsi="Times New Roman"/>
          <w:sz w:val="24"/>
          <w:szCs w:val="24"/>
          <w:u w:color="FA5050"/>
        </w:rPr>
        <w:t>Ψ</w:t>
      </w:r>
      <w:r w:rsidR="00253F6E" w:rsidRPr="00234552">
        <w:rPr>
          <w:rFonts w:ascii="Times New Roman" w:hAnsi="Times New Roman"/>
          <w:sz w:val="24"/>
          <w:szCs w:val="24"/>
        </w:rPr>
        <w:t xml:space="preserve"> against φ of</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amino acid</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residues in</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u w:color="FA5050"/>
        </w:rPr>
        <w:t>the protein</w:t>
      </w:r>
      <w:r w:rsidR="00253F6E" w:rsidRPr="00234552">
        <w:rPr>
          <w:rFonts w:ascii="Times New Roman" w:hAnsi="Times New Roman"/>
          <w:sz w:val="24"/>
          <w:szCs w:val="24"/>
        </w:rPr>
        <w:t xml:space="preserve"> structure. The figure at left illustrates the definition of the φ and ψ backbone dihedral angles</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 xml:space="preserve">(called φ and φ' by Ramachandran). The ω angle at the peptide bond is normally </w:t>
      </w:r>
      <w:r w:rsidR="00253F6E" w:rsidRPr="00234552">
        <w:rPr>
          <w:rFonts w:ascii="Times New Roman" w:hAnsi="Times New Roman"/>
          <w:sz w:val="24"/>
          <w:szCs w:val="24"/>
          <w:u w:color="FA5050"/>
        </w:rPr>
        <w:t>180,</w:t>
      </w:r>
      <w:r w:rsidR="00253F6E" w:rsidRPr="00234552">
        <w:rPr>
          <w:rFonts w:ascii="Times New Roman" w:hAnsi="Times New Roman"/>
          <w:sz w:val="24"/>
          <w:szCs w:val="24"/>
        </w:rPr>
        <w:t xml:space="preserve"> since the partial-double-bond character keeps the</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peptide</w:t>
      </w:r>
      <w:r w:rsidR="00253F6E" w:rsidRPr="00234552">
        <w:rPr>
          <w:rStyle w:val="apple-converted-space"/>
          <w:rFonts w:ascii="Times New Roman" w:hAnsi="Times New Roman"/>
          <w:sz w:val="24"/>
          <w:szCs w:val="24"/>
        </w:rPr>
        <w:t xml:space="preserve"> </w:t>
      </w:r>
      <w:r w:rsidR="00253F6E" w:rsidRPr="00234552">
        <w:rPr>
          <w:rFonts w:ascii="Times New Roman" w:hAnsi="Times New Roman"/>
          <w:sz w:val="24"/>
          <w:szCs w:val="24"/>
        </w:rPr>
        <w:t xml:space="preserve">planar </w:t>
      </w:r>
      <w:r w:rsidR="00234552" w:rsidRPr="00234552">
        <w:rPr>
          <w:rFonts w:ascii="Times New Roman" w:hAnsi="Times New Roman"/>
          <w:sz w:val="24"/>
          <w:szCs w:val="24"/>
        </w:rPr>
        <w:t>.</w:t>
      </w:r>
    </w:p>
    <w:p w:rsidR="00F660C6" w:rsidRPr="00234552" w:rsidRDefault="00603006" w:rsidP="007C489A">
      <w:pPr>
        <w:spacing w:line="480" w:lineRule="auto"/>
        <w:rPr>
          <w:rFonts w:ascii="Times New Roman" w:hAnsi="Times New Roman"/>
          <w:b/>
          <w:bCs/>
          <w:sz w:val="24"/>
          <w:szCs w:val="24"/>
          <w:shd w:val="clear" w:color="auto" w:fill="FFFFFF"/>
        </w:rPr>
      </w:pPr>
      <w:r w:rsidRPr="00234552">
        <w:rPr>
          <w:rFonts w:ascii="Times New Roman" w:hAnsi="Times New Roman"/>
          <w:b/>
          <w:bCs/>
          <w:sz w:val="24"/>
          <w:szCs w:val="24"/>
          <w:shd w:val="clear" w:color="auto" w:fill="FFFFFF"/>
        </w:rPr>
        <w:lastRenderedPageBreak/>
        <w:t>CASTp</w:t>
      </w:r>
    </w:p>
    <w:p w:rsidR="00253F6E" w:rsidRPr="00234552" w:rsidRDefault="00253F6E" w:rsidP="007C489A">
      <w:pPr>
        <w:spacing w:line="480" w:lineRule="auto"/>
        <w:ind w:firstLine="720"/>
        <w:jc w:val="both"/>
        <w:rPr>
          <w:rFonts w:ascii="Times New Roman" w:hAnsi="Times New Roman"/>
          <w:sz w:val="24"/>
          <w:szCs w:val="24"/>
        </w:rPr>
      </w:pPr>
      <w:r w:rsidRPr="00234552">
        <w:rPr>
          <w:rFonts w:ascii="Times New Roman" w:hAnsi="Times New Roman"/>
          <w:bCs/>
          <w:sz w:val="24"/>
          <w:szCs w:val="24"/>
          <w:shd w:val="clear" w:color="auto" w:fill="FFFFFF"/>
        </w:rPr>
        <w:t>Computer Atlas of Surface Topology of Proteins</w:t>
      </w:r>
      <w:r w:rsidR="002F3939" w:rsidRPr="00234552">
        <w:rPr>
          <w:rFonts w:ascii="Times New Roman" w:hAnsi="Times New Roman"/>
          <w:bCs/>
          <w:sz w:val="24"/>
          <w:szCs w:val="24"/>
          <w:shd w:val="clear" w:color="auto" w:fill="FFFFFF"/>
        </w:rPr>
        <w:t xml:space="preserve"> CASTp ) </w:t>
      </w:r>
      <w:r w:rsidRPr="00234552">
        <w:rPr>
          <w:rFonts w:ascii="Times New Roman" w:hAnsi="Times New Roman"/>
          <w:sz w:val="24"/>
          <w:szCs w:val="24"/>
          <w:shd w:val="clear" w:color="auto" w:fill="FFFFFF"/>
        </w:rPr>
        <w:t>, is a tool in</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Bioinformatics</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which is an online resource for identifying some of the geometric properties of</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protein</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like locating, delineating and measuring concave surface regions on 3D structures of proteins obtained from</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PDB</w:t>
      </w:r>
      <w:r w:rsidRPr="00234552">
        <w:rPr>
          <w:rStyle w:val="apple-converted-space"/>
          <w:rFonts w:ascii="Times New Roman" w:hAnsi="Times New Roman"/>
          <w:sz w:val="24"/>
          <w:szCs w:val="24"/>
          <w:shd w:val="clear" w:color="auto" w:fill="FFFFFF"/>
        </w:rPr>
        <w:t xml:space="preserve"> </w:t>
      </w:r>
      <w:r w:rsidRPr="00234552">
        <w:rPr>
          <w:rFonts w:ascii="Times New Roman" w:hAnsi="Times New Roman"/>
          <w:sz w:val="24"/>
          <w:szCs w:val="24"/>
          <w:shd w:val="clear" w:color="auto" w:fill="FFFFFF"/>
        </w:rPr>
        <w:t xml:space="preserve">also to study surface features, functional regions and active site of proteins. As this tool </w:t>
      </w:r>
      <w:r w:rsidRPr="00234552">
        <w:rPr>
          <w:rFonts w:ascii="Times New Roman" w:hAnsi="Times New Roman"/>
          <w:sz w:val="24"/>
          <w:szCs w:val="24"/>
          <w:u w:color="FA5050"/>
          <w:shd w:val="clear" w:color="auto" w:fill="FFFFFF"/>
        </w:rPr>
        <w:t>helps</w:t>
      </w:r>
      <w:r w:rsidRPr="00234552">
        <w:rPr>
          <w:rFonts w:ascii="Times New Roman" w:hAnsi="Times New Roman"/>
          <w:sz w:val="24"/>
          <w:szCs w:val="24"/>
          <w:shd w:val="clear" w:color="auto" w:fill="FFFFFF"/>
        </w:rPr>
        <w:t xml:space="preserve"> in finding cavity or pockets in the </w:t>
      </w:r>
      <w:r w:rsidRPr="00234552">
        <w:rPr>
          <w:rFonts w:ascii="Times New Roman" w:hAnsi="Times New Roman"/>
          <w:sz w:val="24"/>
          <w:szCs w:val="24"/>
          <w:u w:color="FA5050"/>
          <w:shd w:val="clear" w:color="auto" w:fill="FFFFFF"/>
        </w:rPr>
        <w:t>structure,</w:t>
      </w:r>
      <w:r w:rsidRPr="00234552">
        <w:rPr>
          <w:rFonts w:ascii="Times New Roman" w:hAnsi="Times New Roman"/>
          <w:sz w:val="24"/>
          <w:szCs w:val="24"/>
          <w:shd w:val="clear" w:color="auto" w:fill="FFFFFF"/>
        </w:rPr>
        <w:t xml:space="preserve"> it is used for identifying active sites where drugs can </w:t>
      </w:r>
      <w:r w:rsidRPr="00234552">
        <w:rPr>
          <w:rFonts w:ascii="Times New Roman" w:hAnsi="Times New Roman"/>
          <w:sz w:val="24"/>
          <w:szCs w:val="24"/>
          <w:u w:color="FA5050"/>
          <w:shd w:val="clear" w:color="auto" w:fill="FFFFFF"/>
        </w:rPr>
        <w:t>be bind</w:t>
      </w:r>
      <w:r w:rsidRPr="00234552">
        <w:rPr>
          <w:rFonts w:ascii="Times New Roman" w:hAnsi="Times New Roman"/>
          <w:sz w:val="24"/>
          <w:szCs w:val="24"/>
          <w:shd w:val="clear" w:color="auto" w:fill="FFFFFF"/>
        </w:rPr>
        <w:t>.</w:t>
      </w:r>
    </w:p>
    <w:p w:rsidR="00F660C6" w:rsidRPr="00234552" w:rsidRDefault="000C218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DRUG BANK</w:t>
      </w:r>
    </w:p>
    <w:p w:rsidR="00253F6E" w:rsidRPr="00234552" w:rsidRDefault="00F660C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ab/>
      </w:r>
      <w:r w:rsidR="00253F6E" w:rsidRPr="00234552">
        <w:rPr>
          <w:rFonts w:ascii="Times New Roman" w:hAnsi="Times New Roman"/>
          <w:sz w:val="24"/>
          <w:szCs w:val="24"/>
        </w:rPr>
        <w:t xml:space="preserve">The </w:t>
      </w:r>
      <w:r w:rsidR="00253F6E" w:rsidRPr="00234552">
        <w:rPr>
          <w:rFonts w:ascii="Times New Roman" w:hAnsi="Times New Roman"/>
          <w:bCs/>
          <w:sz w:val="24"/>
          <w:szCs w:val="24"/>
        </w:rPr>
        <w:t>Drug Bank</w:t>
      </w:r>
      <w:r w:rsidR="00253F6E" w:rsidRPr="00234552">
        <w:rPr>
          <w:rFonts w:ascii="Times New Roman" w:hAnsi="Times New Roman"/>
          <w:sz w:val="24"/>
          <w:szCs w:val="24"/>
        </w:rPr>
        <w:t xml:space="preserve"> database is a comprehensive, high-quality, freely accessible, online database containing information on drugs and drug targets</w:t>
      </w:r>
      <w:r w:rsidR="00253F6E" w:rsidRPr="00234552">
        <w:rPr>
          <w:rFonts w:ascii="Times New Roman" w:eastAsia="Times New Roman" w:hAnsi="Times New Roman"/>
          <w:sz w:val="24"/>
          <w:szCs w:val="24"/>
        </w:rPr>
        <w:t xml:space="preserve"> </w:t>
      </w:r>
      <w:r w:rsidR="00234552" w:rsidRPr="00234552">
        <w:rPr>
          <w:rFonts w:ascii="Times New Roman" w:eastAsia="Times New Roman" w:hAnsi="Times New Roman"/>
          <w:sz w:val="24"/>
          <w:szCs w:val="24"/>
        </w:rPr>
        <w:fldChar w:fldCharType="begin"/>
      </w:r>
      <w:r w:rsidR="00234552" w:rsidRPr="00234552">
        <w:rPr>
          <w:rFonts w:ascii="Times New Roman" w:eastAsia="Times New Roman" w:hAnsi="Times New Roman"/>
          <w:sz w:val="24"/>
          <w:szCs w:val="24"/>
        </w:rPr>
        <w:instrText xml:space="preserve"> ADDIN EN.CITE &lt;EndNote&gt;&lt;Cite&gt;&lt;Author&gt;Law&lt;/Author&gt;&lt;Year&gt;2013&lt;/Year&gt;&lt;RecNum&gt;1188&lt;/RecNum&gt;&lt;DisplayText&gt;[35]&lt;/DisplayText&gt;&lt;record&gt;&lt;rec-number&gt;1188&lt;/rec-number&gt;&lt;foreign-keys&gt;&lt;key app="EN" db-id="5t9a0wevofsa0aersrpp9efbdaztxs2a2ze2" timestamp="1532552202"&gt;1188&lt;/key&gt;&lt;/foreign-keys&gt;&lt;ref-type name="Journal Article"&gt;17&lt;/ref-type&gt;&lt;contributors&gt;&lt;authors&gt;&lt;author&gt;Law, Vivian&lt;/author&gt;&lt;author&gt;Knox, Craig&lt;/author&gt;&lt;author&gt;Djoumbou, Yannick&lt;/author&gt;&lt;author&gt;Jewison, Tim&lt;/author&gt;&lt;author&gt;Guo, An Chi&lt;/author&gt;&lt;author&gt;Liu, Yifeng&lt;/author&gt;&lt;author&gt;Maciejewski, Adam&lt;/author&gt;&lt;author&gt;Arndt, David&lt;/author&gt;&lt;author&gt;Wilson, Michael&lt;/author&gt;&lt;author&gt;Neveu, Vanessa&lt;/author&gt;&lt;/authors&gt;&lt;/contributors&gt;&lt;titles&gt;&lt;title&gt;DrugBank 4.0: shedding new light on drug metabolism&lt;/title&gt;&lt;secondary-title&gt;Nucleic acids research&lt;/secondary-title&gt;&lt;/titles&gt;&lt;periodical&gt;&lt;full-title&gt;Nucleic acids research&lt;/full-title&gt;&lt;/periodical&gt;&lt;pages&gt;D1091-D1097&lt;/pages&gt;&lt;volume&gt;42&lt;/volume&gt;&lt;number&gt;D1&lt;/number&gt;&lt;dates&gt;&lt;year&gt;2013&lt;/year&gt;&lt;/dates&gt;&lt;isbn&gt;1362-4962&lt;/isbn&gt;&lt;urls&gt;&lt;/urls&gt;&lt;/record&gt;&lt;/Cite&gt;&lt;/EndNote&gt;</w:instrText>
      </w:r>
      <w:r w:rsidR="00234552" w:rsidRPr="00234552">
        <w:rPr>
          <w:rFonts w:ascii="Times New Roman" w:eastAsia="Times New Roman" w:hAnsi="Times New Roman"/>
          <w:sz w:val="24"/>
          <w:szCs w:val="24"/>
        </w:rPr>
        <w:fldChar w:fldCharType="separate"/>
      </w:r>
      <w:r w:rsidR="00234552" w:rsidRPr="00234552">
        <w:rPr>
          <w:rFonts w:ascii="Times New Roman" w:eastAsia="Times New Roman" w:hAnsi="Times New Roman"/>
          <w:noProof/>
          <w:sz w:val="24"/>
          <w:szCs w:val="24"/>
        </w:rPr>
        <w:t>[</w:t>
      </w:r>
      <w:hyperlink w:anchor="_ENREF_35" w:tooltip="Law, 2013 #1188" w:history="1">
        <w:r w:rsidR="00412F76" w:rsidRPr="00234552">
          <w:rPr>
            <w:rFonts w:ascii="Times New Roman" w:eastAsia="Times New Roman" w:hAnsi="Times New Roman"/>
            <w:noProof/>
            <w:sz w:val="24"/>
            <w:szCs w:val="24"/>
          </w:rPr>
          <w:t>35</w:t>
        </w:r>
      </w:hyperlink>
      <w:r w:rsidR="00234552" w:rsidRPr="00234552">
        <w:rPr>
          <w:rFonts w:ascii="Times New Roman" w:eastAsia="Times New Roman" w:hAnsi="Times New Roman"/>
          <w:noProof/>
          <w:sz w:val="24"/>
          <w:szCs w:val="24"/>
        </w:rPr>
        <w:t>]</w:t>
      </w:r>
      <w:r w:rsidR="00234552" w:rsidRPr="00234552">
        <w:rPr>
          <w:rFonts w:ascii="Times New Roman" w:eastAsia="Times New Roman" w:hAnsi="Times New Roman"/>
          <w:sz w:val="24"/>
          <w:szCs w:val="24"/>
        </w:rPr>
        <w:fldChar w:fldCharType="end"/>
      </w:r>
      <w:r w:rsidR="00253F6E" w:rsidRPr="00234552">
        <w:rPr>
          <w:rFonts w:ascii="Times New Roman" w:eastAsia="Times New Roman" w:hAnsi="Times New Roman"/>
          <w:sz w:val="24"/>
          <w:szCs w:val="24"/>
        </w:rPr>
        <w:t>.</w:t>
      </w:r>
      <w:r w:rsidR="00267787" w:rsidRPr="00234552">
        <w:rPr>
          <w:rFonts w:ascii="Times New Roman" w:hAnsi="Times New Roman"/>
          <w:sz w:val="24"/>
          <w:szCs w:val="24"/>
        </w:rPr>
        <w:t xml:space="preserve"> </w:t>
      </w:r>
      <w:r w:rsidR="00253F6E" w:rsidRPr="00234552">
        <w:rPr>
          <w:rFonts w:ascii="Times New Roman" w:hAnsi="Times New Roman"/>
          <w:sz w:val="24"/>
          <w:szCs w:val="24"/>
        </w:rPr>
        <w:t xml:space="preserve">As both a bioinformatics and a cheminformatics resource, Drug Bank combines detailed drug (i.e. </w:t>
      </w:r>
      <w:r w:rsidR="00253F6E" w:rsidRPr="00234552">
        <w:rPr>
          <w:rFonts w:ascii="Times New Roman" w:hAnsi="Times New Roman"/>
          <w:sz w:val="24"/>
          <w:szCs w:val="24"/>
          <w:u w:color="FA5050"/>
        </w:rPr>
        <w:t>Chemical</w:t>
      </w:r>
      <w:r w:rsidR="00253F6E" w:rsidRPr="00234552">
        <w:rPr>
          <w:rFonts w:ascii="Times New Roman" w:hAnsi="Times New Roman"/>
          <w:sz w:val="24"/>
          <w:szCs w:val="24"/>
        </w:rPr>
        <w:t xml:space="preserve">, pharmacological and pharmaceutical) data with comprehensive drug target (i.e. </w:t>
      </w:r>
      <w:r w:rsidR="00253F6E" w:rsidRPr="00234552">
        <w:rPr>
          <w:rFonts w:ascii="Times New Roman" w:hAnsi="Times New Roman"/>
          <w:sz w:val="24"/>
          <w:szCs w:val="24"/>
          <w:u w:color="FA5050"/>
        </w:rPr>
        <w:t>Sequence</w:t>
      </w:r>
      <w:r w:rsidR="00253F6E" w:rsidRPr="00234552">
        <w:rPr>
          <w:rFonts w:ascii="Times New Roman" w:hAnsi="Times New Roman"/>
          <w:sz w:val="24"/>
          <w:szCs w:val="24"/>
        </w:rPr>
        <w:t>, structure and pathway) information</w:t>
      </w:r>
      <w:r w:rsidR="00253F6E" w:rsidRPr="00234552">
        <w:rPr>
          <w:rFonts w:ascii="Times New Roman" w:eastAsia="Times New Roman" w:hAnsi="Times New Roman"/>
          <w:sz w:val="24"/>
          <w:szCs w:val="24"/>
        </w:rPr>
        <w:t>.</w:t>
      </w:r>
      <w:r w:rsidR="00253F6E" w:rsidRPr="00234552">
        <w:rPr>
          <w:rFonts w:ascii="Times New Roman" w:eastAsia="Times New Roman" w:hAnsi="Times New Roman"/>
          <w:b/>
          <w:sz w:val="24"/>
          <w:szCs w:val="24"/>
        </w:rPr>
        <w:t xml:space="preserve"> </w:t>
      </w:r>
      <w:r w:rsidR="00253F6E" w:rsidRPr="00234552">
        <w:rPr>
          <w:rFonts w:ascii="Times New Roman" w:hAnsi="Times New Roman"/>
          <w:sz w:val="24"/>
          <w:szCs w:val="24"/>
        </w:rPr>
        <w:t xml:space="preserve">Because of its broad scope, comprehensive referencing and unusually detailed data descriptions, Drug Bank is more akin to </w:t>
      </w:r>
      <w:r w:rsidR="00267787" w:rsidRPr="00234552">
        <w:rPr>
          <w:rFonts w:ascii="Times New Roman" w:hAnsi="Times New Roman"/>
          <w:sz w:val="24"/>
          <w:szCs w:val="24"/>
        </w:rPr>
        <w:t xml:space="preserve">a drug encyclopedia than a drug </w:t>
      </w:r>
      <w:r w:rsidR="00253F6E" w:rsidRPr="00234552">
        <w:rPr>
          <w:rFonts w:ascii="Times New Roman" w:hAnsi="Times New Roman"/>
          <w:sz w:val="24"/>
          <w:szCs w:val="24"/>
        </w:rPr>
        <w:t xml:space="preserve">database maintained for Drug Bank is widely used by the drug industry, medicinal chemists, pharmacists, physicians, students and the general public. Its extensive drug and drug-target data has enabled the discovery and </w:t>
      </w:r>
      <w:r w:rsidR="00253F6E" w:rsidRPr="00234552">
        <w:rPr>
          <w:rFonts w:ascii="Times New Roman" w:hAnsi="Times New Roman"/>
          <w:sz w:val="24"/>
          <w:szCs w:val="24"/>
          <w:u w:color="FA5050"/>
        </w:rPr>
        <w:t>rephrasing</w:t>
      </w:r>
      <w:r w:rsidR="00253F6E" w:rsidRPr="00234552">
        <w:rPr>
          <w:rFonts w:ascii="Times New Roman" w:hAnsi="Times New Roman"/>
          <w:sz w:val="24"/>
          <w:szCs w:val="24"/>
        </w:rPr>
        <w:t xml:space="preserve"> of a number of existing drugs to treat rare and newly identified illnesses.</w:t>
      </w:r>
      <w:r w:rsidR="00267787" w:rsidRPr="00234552">
        <w:rPr>
          <w:rFonts w:ascii="Times New Roman" w:hAnsi="Times New Roman"/>
          <w:sz w:val="24"/>
          <w:szCs w:val="24"/>
        </w:rPr>
        <w:t xml:space="preserve"> </w:t>
      </w:r>
      <w:r w:rsidR="00253F6E" w:rsidRPr="00234552">
        <w:rPr>
          <w:rFonts w:ascii="Times New Roman" w:hAnsi="Times New Roman"/>
          <w:sz w:val="24"/>
          <w:szCs w:val="24"/>
        </w:rPr>
        <w:t xml:space="preserve">Each Drug Card entry contains more than 200 data fields with half of the information being devoted to drug chemical data and the other half devoted to drug target or protein data </w:t>
      </w:r>
      <w:r w:rsidR="00234552" w:rsidRPr="00234552">
        <w:rPr>
          <w:rFonts w:ascii="Times New Roman" w:hAnsi="Times New Roman"/>
          <w:sz w:val="24"/>
          <w:szCs w:val="24"/>
        </w:rPr>
        <w:fldChar w:fldCharType="begin"/>
      </w:r>
      <w:r w:rsidR="00234552" w:rsidRPr="00234552">
        <w:rPr>
          <w:rFonts w:ascii="Times New Roman" w:hAnsi="Times New Roman"/>
          <w:sz w:val="24"/>
          <w:szCs w:val="24"/>
        </w:rPr>
        <w:instrText xml:space="preserve"> ADDIN EN.CITE &lt;EndNote&gt;&lt;Cite&gt;&lt;Author&gt;Law&lt;/Author&gt;&lt;Year&gt;2013&lt;/Year&gt;&lt;RecNum&gt;1188&lt;/RecNum&gt;&lt;DisplayText&gt;[35]&lt;/DisplayText&gt;&lt;record&gt;&lt;rec-number&gt;1188&lt;/rec-number&gt;&lt;foreign-keys&gt;&lt;key app="EN" db-id="5t9a0wevofsa0aersrpp9efbdaztxs2a2ze2" timestamp="1532552202"&gt;1188&lt;/key&gt;&lt;/foreign-keys&gt;&lt;ref-type name="Journal Article"&gt;17&lt;/ref-type&gt;&lt;contributors&gt;&lt;authors&gt;&lt;author&gt;Law, Vivian&lt;/author&gt;&lt;author&gt;Knox, Craig&lt;/author&gt;&lt;author&gt;Djoumbou, Yannick&lt;/author&gt;&lt;author&gt;Jewison, Tim&lt;/author&gt;&lt;author&gt;Guo, An Chi&lt;/author&gt;&lt;author&gt;Liu, Yifeng&lt;/author&gt;&lt;author&gt;Maciejewski, Adam&lt;/author&gt;&lt;author&gt;Arndt, David&lt;/author&gt;&lt;author&gt;Wilson, Michael&lt;/author&gt;&lt;author&gt;Neveu, Vanessa&lt;/author&gt;&lt;/authors&gt;&lt;/contributors&gt;&lt;titles&gt;&lt;title&gt;DrugBank 4.0: shedding new light on drug metabolism&lt;/title&gt;&lt;secondary-title&gt;Nucleic acids research&lt;/secondary-title&gt;&lt;/titles&gt;&lt;periodical&gt;&lt;full-title&gt;Nucleic acids research&lt;/full-title&gt;&lt;/periodical&gt;&lt;pages&gt;D1091-D1097&lt;/pages&gt;&lt;volume&gt;42&lt;/volume&gt;&lt;number&gt;D1&lt;/number&gt;&lt;dates&gt;&lt;year&gt;2013&lt;/year&gt;&lt;/dates&gt;&lt;isbn&gt;1362-4962&lt;/isbn&gt;&lt;urls&gt;&lt;/urls&gt;&lt;/record&gt;&lt;/Cite&gt;&lt;/EndNote&gt;</w:instrText>
      </w:r>
      <w:r w:rsidR="00234552" w:rsidRPr="00234552">
        <w:rPr>
          <w:rFonts w:ascii="Times New Roman" w:hAnsi="Times New Roman"/>
          <w:sz w:val="24"/>
          <w:szCs w:val="24"/>
        </w:rPr>
        <w:fldChar w:fldCharType="separate"/>
      </w:r>
      <w:r w:rsidR="00234552" w:rsidRPr="00234552">
        <w:rPr>
          <w:rFonts w:ascii="Times New Roman" w:hAnsi="Times New Roman"/>
          <w:noProof/>
          <w:sz w:val="24"/>
          <w:szCs w:val="24"/>
        </w:rPr>
        <w:t>[</w:t>
      </w:r>
      <w:hyperlink w:anchor="_ENREF_35" w:tooltip="Law, 2013 #1188" w:history="1">
        <w:r w:rsidR="00412F76" w:rsidRPr="00234552">
          <w:rPr>
            <w:rFonts w:ascii="Times New Roman" w:hAnsi="Times New Roman"/>
            <w:noProof/>
            <w:sz w:val="24"/>
            <w:szCs w:val="24"/>
          </w:rPr>
          <w:t>35</w:t>
        </w:r>
      </w:hyperlink>
      <w:r w:rsidR="00234552" w:rsidRPr="00234552">
        <w:rPr>
          <w:rFonts w:ascii="Times New Roman" w:hAnsi="Times New Roman"/>
          <w:noProof/>
          <w:sz w:val="24"/>
          <w:szCs w:val="24"/>
        </w:rPr>
        <w:t>]</w:t>
      </w:r>
      <w:r w:rsidR="00234552" w:rsidRPr="00234552">
        <w:rPr>
          <w:rFonts w:ascii="Times New Roman" w:hAnsi="Times New Roman"/>
          <w:sz w:val="24"/>
          <w:szCs w:val="24"/>
        </w:rPr>
        <w:fldChar w:fldCharType="end"/>
      </w:r>
      <w:r w:rsidR="00253F6E" w:rsidRPr="00234552">
        <w:rPr>
          <w:rFonts w:ascii="Times New Roman" w:hAnsi="Times New Roman"/>
          <w:sz w:val="24"/>
          <w:szCs w:val="24"/>
        </w:rPr>
        <w:t xml:space="preserve">. </w:t>
      </w:r>
    </w:p>
    <w:p w:rsidR="00F660C6" w:rsidRPr="00234552" w:rsidRDefault="00253F6E" w:rsidP="007C489A">
      <w:pPr>
        <w:spacing w:line="480" w:lineRule="auto"/>
        <w:jc w:val="both"/>
        <w:rPr>
          <w:rFonts w:ascii="Times New Roman" w:hAnsi="Times New Roman"/>
          <w:b/>
          <w:sz w:val="24"/>
          <w:szCs w:val="24"/>
        </w:rPr>
      </w:pPr>
      <w:r w:rsidRPr="00234552">
        <w:rPr>
          <w:rFonts w:ascii="Times New Roman" w:hAnsi="Times New Roman"/>
          <w:b/>
          <w:sz w:val="24"/>
          <w:szCs w:val="24"/>
        </w:rPr>
        <w:t>HEX 6.3</w:t>
      </w:r>
    </w:p>
    <w:p w:rsidR="00253F6E" w:rsidRPr="00234552" w:rsidRDefault="00253F6E" w:rsidP="007C489A">
      <w:pPr>
        <w:spacing w:line="480" w:lineRule="auto"/>
        <w:ind w:firstLine="720"/>
        <w:jc w:val="both"/>
        <w:rPr>
          <w:rFonts w:ascii="Times New Roman" w:hAnsi="Times New Roman"/>
          <w:b/>
          <w:sz w:val="24"/>
          <w:szCs w:val="24"/>
        </w:rPr>
      </w:pPr>
      <w:r w:rsidRPr="00234552">
        <w:rPr>
          <w:rFonts w:ascii="Times New Roman" w:hAnsi="Times New Roman"/>
          <w:sz w:val="24"/>
          <w:szCs w:val="24"/>
        </w:rPr>
        <w:t xml:space="preserve">Hex was written by Dave Ritchie of the University of Aberdeen </w:t>
      </w:r>
      <w:r w:rsidR="00234552" w:rsidRPr="00234552">
        <w:rPr>
          <w:rFonts w:ascii="Times New Roman" w:hAnsi="Times New Roman"/>
          <w:sz w:val="24"/>
          <w:szCs w:val="24"/>
        </w:rPr>
        <w:fldChar w:fldCharType="begin"/>
      </w:r>
      <w:r w:rsidR="00234552" w:rsidRPr="00234552">
        <w:rPr>
          <w:rFonts w:ascii="Times New Roman" w:hAnsi="Times New Roman"/>
          <w:sz w:val="24"/>
          <w:szCs w:val="24"/>
        </w:rPr>
        <w:instrText xml:space="preserve"> ADDIN EN.CITE &lt;EndNote&gt;&lt;Cite&gt;&lt;Author&gt;Ritchie&lt;/Author&gt;&lt;Year&gt;2000&lt;/Year&gt;&lt;RecNum&gt;1189&lt;/RecNum&gt;&lt;DisplayText&gt;[36]&lt;/DisplayText&gt;&lt;record&gt;&lt;rec-number&gt;1189&lt;/rec-number&gt;&lt;foreign-keys&gt;&lt;key app="EN" db-id="5t9a0wevofsa0aersrpp9efbdaztxs2a2ze2" timestamp="1532552285"&gt;1189&lt;/key&gt;&lt;/foreign-keys&gt;&lt;ref-type name="Journal Article"&gt;17&lt;/ref-type&gt;&lt;contributors&gt;&lt;authors&gt;&lt;author&gt;Ritchie, David W&lt;/author&gt;&lt;author&gt;Kemp, Graham JL&lt;/author&gt;&lt;/authors&gt;&lt;/contributors&gt;&lt;titles&gt;&lt;title&gt;Protein docking using spherical polar Fourier correlations&lt;/title&gt;&lt;secondary-title&gt;Proteins: Structure, Function, and Bioinformatics&lt;/secondary-title&gt;&lt;/titles&gt;&lt;periodical&gt;&lt;full-title&gt;Proteins: Structure, Function, and Bioinformatics&lt;/full-title&gt;&lt;/periodical&gt;&lt;pages&gt;178-194&lt;/pages&gt;&lt;volume&gt;39&lt;/volume&gt;&lt;number&gt;2&lt;/number&gt;&lt;dates&gt;&lt;year&gt;2000&lt;/year&gt;&lt;/dates&gt;&lt;isbn&gt;0887-3585&lt;/isbn&gt;&lt;urls&gt;&lt;/urls&gt;&lt;/record&gt;&lt;/Cite&gt;&lt;/EndNote&gt;</w:instrText>
      </w:r>
      <w:r w:rsidR="00234552" w:rsidRPr="00234552">
        <w:rPr>
          <w:rFonts w:ascii="Times New Roman" w:hAnsi="Times New Roman"/>
          <w:sz w:val="24"/>
          <w:szCs w:val="24"/>
        </w:rPr>
        <w:fldChar w:fldCharType="separate"/>
      </w:r>
      <w:r w:rsidR="00234552" w:rsidRPr="00234552">
        <w:rPr>
          <w:rFonts w:ascii="Times New Roman" w:hAnsi="Times New Roman"/>
          <w:noProof/>
          <w:sz w:val="24"/>
          <w:szCs w:val="24"/>
        </w:rPr>
        <w:t>[</w:t>
      </w:r>
      <w:hyperlink w:anchor="_ENREF_36" w:tooltip="Ritchie, 2000 #1189" w:history="1">
        <w:r w:rsidR="00412F76" w:rsidRPr="00234552">
          <w:rPr>
            <w:rFonts w:ascii="Times New Roman" w:hAnsi="Times New Roman"/>
            <w:noProof/>
            <w:sz w:val="24"/>
            <w:szCs w:val="24"/>
          </w:rPr>
          <w:t>36</w:t>
        </w:r>
      </w:hyperlink>
      <w:r w:rsidR="00234552" w:rsidRPr="00234552">
        <w:rPr>
          <w:rFonts w:ascii="Times New Roman" w:hAnsi="Times New Roman"/>
          <w:noProof/>
          <w:sz w:val="24"/>
          <w:szCs w:val="24"/>
        </w:rPr>
        <w:t>]</w:t>
      </w:r>
      <w:r w:rsidR="00234552" w:rsidRPr="00234552">
        <w:rPr>
          <w:rFonts w:ascii="Times New Roman" w:hAnsi="Times New Roman"/>
          <w:sz w:val="24"/>
          <w:szCs w:val="24"/>
        </w:rPr>
        <w:fldChar w:fldCharType="end"/>
      </w:r>
      <w:r w:rsidR="00267787" w:rsidRPr="00234552">
        <w:rPr>
          <w:rFonts w:ascii="Times New Roman" w:hAnsi="Times New Roman"/>
          <w:sz w:val="24"/>
          <w:szCs w:val="24"/>
        </w:rPr>
        <w:t xml:space="preserve">. </w:t>
      </w:r>
      <w:r w:rsidRPr="00A34730">
        <w:rPr>
          <w:rFonts w:ascii="Times New Roman" w:hAnsi="Times New Roman"/>
          <w:noProof/>
          <w:sz w:val="24"/>
          <w:szCs w:val="24"/>
        </w:rPr>
        <w:t>Hex</w:t>
      </w:r>
      <w:r w:rsidRPr="00234552">
        <w:rPr>
          <w:rFonts w:ascii="Times New Roman" w:hAnsi="Times New Roman"/>
          <w:sz w:val="24"/>
          <w:szCs w:val="24"/>
        </w:rPr>
        <w:t xml:space="preserve"> is an interactive molecular graphics program for calculating and displaying feasible docking modes of pairs </w:t>
      </w:r>
      <w:r w:rsidRPr="00234552">
        <w:rPr>
          <w:rFonts w:ascii="Times New Roman" w:hAnsi="Times New Roman"/>
          <w:sz w:val="24"/>
          <w:szCs w:val="24"/>
          <w:u w:color="FA5050"/>
        </w:rPr>
        <w:t>of</w:t>
      </w:r>
      <w:r w:rsidRPr="00234552">
        <w:rPr>
          <w:rFonts w:ascii="Times New Roman" w:hAnsi="Times New Roman"/>
          <w:sz w:val="24"/>
          <w:szCs w:val="24"/>
        </w:rPr>
        <w:t xml:space="preserve"> protein and DNA </w:t>
      </w:r>
      <w:r w:rsidRPr="00234552">
        <w:rPr>
          <w:rFonts w:ascii="Times New Roman" w:hAnsi="Times New Roman"/>
          <w:sz w:val="24"/>
          <w:szCs w:val="24"/>
          <w:u w:color="FA5050"/>
        </w:rPr>
        <w:t>molecules</w:t>
      </w:r>
      <w:r w:rsidR="00267787" w:rsidRPr="00234552">
        <w:rPr>
          <w:rFonts w:ascii="Times New Roman" w:hAnsi="Times New Roman"/>
          <w:sz w:val="24"/>
          <w:szCs w:val="24"/>
        </w:rPr>
        <w:t xml:space="preserve">. </w:t>
      </w:r>
      <w:r w:rsidRPr="00234552">
        <w:rPr>
          <w:rFonts w:ascii="Times New Roman" w:hAnsi="Times New Roman"/>
          <w:sz w:val="24"/>
          <w:szCs w:val="24"/>
        </w:rPr>
        <w:t xml:space="preserve">Hex can also calculate protein-ligand docking, </w:t>
      </w:r>
      <w:r w:rsidRPr="00234552">
        <w:rPr>
          <w:rFonts w:ascii="Times New Roman" w:hAnsi="Times New Roman"/>
          <w:sz w:val="24"/>
          <w:szCs w:val="24"/>
        </w:rPr>
        <w:lastRenderedPageBreak/>
        <w:t xml:space="preserve">assuming the </w:t>
      </w:r>
      <w:r w:rsidRPr="00234552">
        <w:rPr>
          <w:rFonts w:ascii="Times New Roman" w:hAnsi="Times New Roman"/>
          <w:sz w:val="24"/>
          <w:szCs w:val="24"/>
          <w:u w:color="FA5050"/>
        </w:rPr>
        <w:t>ligand,</w:t>
      </w:r>
      <w:r w:rsidRPr="00234552">
        <w:rPr>
          <w:rFonts w:ascii="Times New Roman" w:hAnsi="Times New Roman"/>
          <w:sz w:val="24"/>
          <w:szCs w:val="24"/>
        </w:rPr>
        <w:t xml:space="preserve"> is </w:t>
      </w:r>
      <w:r w:rsidRPr="00234552">
        <w:rPr>
          <w:rFonts w:ascii="Times New Roman" w:hAnsi="Times New Roman"/>
          <w:sz w:val="24"/>
          <w:szCs w:val="24"/>
          <w:u w:color="FA5050"/>
        </w:rPr>
        <w:t>rigid</w:t>
      </w:r>
      <w:r w:rsidRPr="00234552">
        <w:rPr>
          <w:rFonts w:ascii="Times New Roman" w:hAnsi="Times New Roman"/>
          <w:sz w:val="24"/>
          <w:szCs w:val="24"/>
        </w:rPr>
        <w:t xml:space="preserve"> and can superpose pairs of molecules using only knowledge of their 3D shapes. </w:t>
      </w:r>
    </w:p>
    <w:p w:rsidR="00F660C6" w:rsidRPr="00234552" w:rsidRDefault="00253F6E"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RESULTS</w:t>
      </w:r>
    </w:p>
    <w:p w:rsidR="00253F6E" w:rsidRPr="00234552" w:rsidRDefault="00F660C6" w:rsidP="007C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rPr>
      </w:pPr>
      <w:r w:rsidRPr="00234552">
        <w:rPr>
          <w:rFonts w:ascii="Times New Roman" w:eastAsia="Times New Roman" w:hAnsi="Times New Roman"/>
          <w:b/>
          <w:sz w:val="24"/>
          <w:szCs w:val="24"/>
        </w:rPr>
        <w:tab/>
      </w:r>
      <w:r w:rsidR="00253F6E" w:rsidRPr="00234552">
        <w:rPr>
          <w:rFonts w:ascii="Times New Roman" w:hAnsi="Times New Roman"/>
          <w:sz w:val="24"/>
          <w:szCs w:val="24"/>
        </w:rPr>
        <w:t xml:space="preserve">In the present </w:t>
      </w:r>
      <w:r w:rsidR="00253F6E" w:rsidRPr="00234552">
        <w:rPr>
          <w:rFonts w:ascii="Times New Roman" w:hAnsi="Times New Roman"/>
          <w:sz w:val="24"/>
          <w:szCs w:val="24"/>
          <w:u w:color="FA5050"/>
        </w:rPr>
        <w:t>study,</w:t>
      </w:r>
      <w:r w:rsidR="00253F6E" w:rsidRPr="00234552">
        <w:rPr>
          <w:rFonts w:ascii="Times New Roman" w:hAnsi="Times New Roman"/>
          <w:sz w:val="24"/>
          <w:szCs w:val="24"/>
        </w:rPr>
        <w:t xml:space="preserve"> the structures of Fc Receptor-like protein3 (FCRL) </w:t>
      </w:r>
      <w:r w:rsidR="00253F6E" w:rsidRPr="00234552">
        <w:rPr>
          <w:rFonts w:ascii="Times New Roman" w:hAnsi="Times New Roman"/>
          <w:sz w:val="24"/>
          <w:szCs w:val="24"/>
          <w:u w:color="FA5050"/>
        </w:rPr>
        <w:t>were</w:t>
      </w:r>
      <w:r w:rsidR="00253F6E" w:rsidRPr="00234552">
        <w:rPr>
          <w:rFonts w:ascii="Times New Roman" w:hAnsi="Times New Roman"/>
          <w:sz w:val="24"/>
          <w:szCs w:val="24"/>
        </w:rPr>
        <w:t xml:space="preserve"> </w:t>
      </w:r>
      <w:r w:rsidR="00253F6E" w:rsidRPr="00234552">
        <w:rPr>
          <w:rFonts w:ascii="Times New Roman" w:hAnsi="Times New Roman"/>
          <w:sz w:val="24"/>
          <w:szCs w:val="24"/>
          <w:u w:color="FA5050"/>
        </w:rPr>
        <w:t>predicted</w:t>
      </w:r>
      <w:r w:rsidR="00253F6E" w:rsidRPr="00234552">
        <w:rPr>
          <w:rFonts w:ascii="Times New Roman" w:hAnsi="Times New Roman"/>
          <w:sz w:val="24"/>
          <w:szCs w:val="24"/>
        </w:rPr>
        <w:t xml:space="preserve"> with the help of Bioinformatics tools and also docking with selected antibiotic such as herbal drug (Acetaminophen) and allopathic drug (</w:t>
      </w:r>
      <w:r w:rsidR="00253F6E" w:rsidRPr="00234552">
        <w:rPr>
          <w:rFonts w:ascii="Times New Roman" w:hAnsi="Times New Roman"/>
          <w:sz w:val="24"/>
          <w:szCs w:val="24"/>
          <w:shd w:val="clear" w:color="auto" w:fill="FFFFFF"/>
        </w:rPr>
        <w:t>Methimazole</w:t>
      </w:r>
      <w:r w:rsidR="00253F6E" w:rsidRPr="00234552">
        <w:rPr>
          <w:rFonts w:ascii="Times New Roman" w:hAnsi="Times New Roman"/>
          <w:sz w:val="24"/>
          <w:szCs w:val="24"/>
        </w:rPr>
        <w:t xml:space="preserve">) was analyzed.  Human Fc Receptor-like protein3 sequence was retrieved from the UNI-PORT protein sequence </w:t>
      </w:r>
      <w:r w:rsidR="00253F6E" w:rsidRPr="00A34730">
        <w:rPr>
          <w:rFonts w:ascii="Times New Roman" w:hAnsi="Times New Roman"/>
          <w:noProof/>
          <w:sz w:val="24"/>
          <w:szCs w:val="24"/>
        </w:rPr>
        <w:t>database</w:t>
      </w:r>
      <w:r w:rsidR="00253F6E" w:rsidRPr="00234552">
        <w:rPr>
          <w:rFonts w:ascii="Times New Roman" w:hAnsi="Times New Roman"/>
          <w:sz w:val="24"/>
          <w:szCs w:val="24"/>
        </w:rPr>
        <w:t xml:space="preserve"> and submitted to the SIB</w:t>
      </w:r>
      <w:r w:rsidR="00253F6E" w:rsidRPr="00234552">
        <w:rPr>
          <w:rFonts w:ascii="Times New Roman" w:hAnsi="Times New Roman"/>
          <w:sz w:val="24"/>
          <w:szCs w:val="24"/>
          <w:u w:color="FA5050"/>
        </w:rPr>
        <w:t>-,</w:t>
      </w:r>
      <w:r w:rsidR="00267787" w:rsidRPr="00234552">
        <w:rPr>
          <w:rFonts w:ascii="Times New Roman" w:hAnsi="Times New Roman"/>
          <w:sz w:val="24"/>
          <w:szCs w:val="24"/>
        </w:rPr>
        <w:t xml:space="preserve"> BLAST. </w:t>
      </w:r>
      <w:r w:rsidR="00253F6E" w:rsidRPr="00234552">
        <w:rPr>
          <w:rFonts w:ascii="Times New Roman" w:hAnsi="Times New Roman"/>
          <w:sz w:val="24"/>
          <w:szCs w:val="24"/>
        </w:rPr>
        <w:t xml:space="preserve">The multiple sequence alignment was performed by comparing </w:t>
      </w:r>
      <w:r w:rsidR="00234552">
        <w:rPr>
          <w:rFonts w:ascii="Times New Roman" w:hAnsi="Times New Roman"/>
          <w:sz w:val="24"/>
          <w:szCs w:val="24"/>
        </w:rPr>
        <w:t xml:space="preserve">(Table 1) </w:t>
      </w:r>
      <w:r w:rsidR="00253F6E" w:rsidRPr="00234552">
        <w:rPr>
          <w:rFonts w:ascii="Times New Roman" w:hAnsi="Times New Roman"/>
          <w:sz w:val="24"/>
          <w:szCs w:val="24"/>
        </w:rPr>
        <w:t xml:space="preserve">Fc receptor-like protein3. The protein sequence of Human was compared with </w:t>
      </w:r>
      <w:r w:rsidR="00253F6E" w:rsidRPr="00234552">
        <w:rPr>
          <w:rFonts w:ascii="Times New Roman" w:hAnsi="Times New Roman"/>
          <w:sz w:val="24"/>
          <w:szCs w:val="24"/>
          <w:u w:color="FA5050"/>
        </w:rPr>
        <w:t>domestic</w:t>
      </w:r>
      <w:r w:rsidR="00253F6E" w:rsidRPr="00234552">
        <w:rPr>
          <w:rFonts w:ascii="Times New Roman" w:hAnsi="Times New Roman"/>
          <w:sz w:val="24"/>
          <w:szCs w:val="24"/>
        </w:rPr>
        <w:t xml:space="preserve"> duck, Wild </w:t>
      </w:r>
      <w:r w:rsidR="00253F6E" w:rsidRPr="00234552">
        <w:rPr>
          <w:rFonts w:ascii="Times New Roman" w:hAnsi="Times New Roman"/>
          <w:sz w:val="24"/>
          <w:szCs w:val="24"/>
          <w:u w:color="FA5050"/>
        </w:rPr>
        <w:t>Yak</w:t>
      </w:r>
      <w:r w:rsidR="00253F6E" w:rsidRPr="00234552">
        <w:rPr>
          <w:rFonts w:ascii="Times New Roman" w:hAnsi="Times New Roman"/>
          <w:sz w:val="24"/>
          <w:szCs w:val="24"/>
        </w:rPr>
        <w:t xml:space="preserve">, Black flying fox, American mink by using CLUSTAL W2. From the </w:t>
      </w:r>
      <w:r w:rsidR="00253F6E" w:rsidRPr="00234552">
        <w:rPr>
          <w:rFonts w:ascii="Times New Roman" w:hAnsi="Times New Roman"/>
          <w:sz w:val="24"/>
          <w:szCs w:val="24"/>
          <w:u w:color="FA5050"/>
        </w:rPr>
        <w:t>result,</w:t>
      </w:r>
      <w:r w:rsidR="00253F6E" w:rsidRPr="00234552">
        <w:rPr>
          <w:rFonts w:ascii="Times New Roman" w:hAnsi="Times New Roman"/>
          <w:sz w:val="24"/>
          <w:szCs w:val="24"/>
        </w:rPr>
        <w:t xml:space="preserve"> it was observed that Fc receptor-like protein3 of </w:t>
      </w:r>
      <w:r w:rsidR="00253F6E" w:rsidRPr="00A34730">
        <w:rPr>
          <w:rFonts w:ascii="Times New Roman" w:hAnsi="Times New Roman"/>
          <w:sz w:val="24"/>
          <w:szCs w:val="24"/>
        </w:rPr>
        <w:t xml:space="preserve">Wild </w:t>
      </w:r>
      <w:r w:rsidR="00253F6E" w:rsidRPr="00A34730">
        <w:rPr>
          <w:rFonts w:ascii="Times New Roman" w:hAnsi="Times New Roman"/>
          <w:sz w:val="24"/>
          <w:szCs w:val="24"/>
          <w:u w:color="FA5050"/>
        </w:rPr>
        <w:t>Yak</w:t>
      </w:r>
      <w:r w:rsidR="00253F6E" w:rsidRPr="00A34730">
        <w:rPr>
          <w:rFonts w:ascii="Times New Roman" w:hAnsi="Times New Roman"/>
          <w:sz w:val="24"/>
          <w:szCs w:val="24"/>
        </w:rPr>
        <w:t xml:space="preserve"> and Human </w:t>
      </w:r>
      <w:r w:rsidR="00253F6E" w:rsidRPr="00234552">
        <w:rPr>
          <w:rFonts w:ascii="Times New Roman" w:hAnsi="Times New Roman"/>
          <w:sz w:val="24"/>
          <w:szCs w:val="24"/>
        </w:rPr>
        <w:t xml:space="preserve">are closely related. </w:t>
      </w:r>
      <w:r w:rsidR="00234552" w:rsidRPr="00234552">
        <w:rPr>
          <w:rFonts w:ascii="Times New Roman" w:hAnsi="Times New Roman"/>
          <w:sz w:val="24"/>
          <w:szCs w:val="24"/>
        </w:rPr>
        <w:t>Likewise</w:t>
      </w:r>
      <w:r w:rsidR="00253F6E" w:rsidRPr="00234552">
        <w:rPr>
          <w:rFonts w:ascii="Times New Roman" w:hAnsi="Times New Roman"/>
          <w:sz w:val="24"/>
          <w:szCs w:val="24"/>
        </w:rPr>
        <w:t xml:space="preserve"> Fc receptor-like protein3 of </w:t>
      </w:r>
      <w:r w:rsidR="00253F6E" w:rsidRPr="00BF3A6A">
        <w:rPr>
          <w:rFonts w:ascii="Times New Roman" w:hAnsi="Times New Roman"/>
          <w:sz w:val="24"/>
          <w:szCs w:val="24"/>
        </w:rPr>
        <w:t>Black flying fox, Domestic duck, and American mink</w:t>
      </w:r>
      <w:r w:rsidR="00253F6E" w:rsidRPr="00234552">
        <w:rPr>
          <w:rFonts w:ascii="Times New Roman" w:hAnsi="Times New Roman"/>
          <w:sz w:val="24"/>
          <w:szCs w:val="24"/>
        </w:rPr>
        <w:t xml:space="preserve"> </w:t>
      </w:r>
      <w:r w:rsidR="00253F6E" w:rsidRPr="00234552">
        <w:rPr>
          <w:rFonts w:ascii="Times New Roman" w:hAnsi="Times New Roman"/>
          <w:sz w:val="24"/>
          <w:szCs w:val="24"/>
          <w:u w:color="FA5050"/>
        </w:rPr>
        <w:t>is</w:t>
      </w:r>
      <w:r w:rsidR="00253F6E" w:rsidRPr="00234552">
        <w:rPr>
          <w:rFonts w:ascii="Times New Roman" w:hAnsi="Times New Roman"/>
          <w:sz w:val="24"/>
          <w:szCs w:val="24"/>
        </w:rPr>
        <w:t xml:space="preserve"> closely related to each other. Fc receptor-like protein3 of </w:t>
      </w:r>
      <w:r w:rsidR="00253F6E" w:rsidRPr="00234552">
        <w:rPr>
          <w:rFonts w:ascii="Times New Roman" w:hAnsi="Times New Roman"/>
          <w:i/>
          <w:sz w:val="24"/>
          <w:szCs w:val="24"/>
        </w:rPr>
        <w:t>Black flying fox,</w:t>
      </w:r>
      <w:r w:rsidR="00253F6E" w:rsidRPr="00234552">
        <w:rPr>
          <w:rFonts w:ascii="Times New Roman" w:hAnsi="Times New Roman"/>
          <w:sz w:val="24"/>
          <w:szCs w:val="24"/>
        </w:rPr>
        <w:t xml:space="preserve"> is more distantly related to human Fc receptor-like protein3. Amino acid composition was determined for the human Fc receptor-like protein3. Fc receptor-like protein3 has 734 amino acids with the molecular weight of 80856.1. Its theoretical PI is 6.56. </w:t>
      </w:r>
      <w:r w:rsidR="00253F6E" w:rsidRPr="00234552">
        <w:rPr>
          <w:rFonts w:ascii="Times New Roman" w:hAnsi="Times New Roman"/>
          <w:sz w:val="24"/>
          <w:szCs w:val="24"/>
          <w:u w:color="FA5050"/>
        </w:rPr>
        <w:t>Aliphatic</w:t>
      </w:r>
      <w:r w:rsidR="00253F6E" w:rsidRPr="00234552">
        <w:rPr>
          <w:rFonts w:ascii="Times New Roman" w:hAnsi="Times New Roman"/>
          <w:sz w:val="24"/>
          <w:szCs w:val="24"/>
        </w:rPr>
        <w:t xml:space="preserve"> amino acids </w:t>
      </w:r>
      <w:r w:rsidR="00234552" w:rsidRPr="00234552">
        <w:rPr>
          <w:rFonts w:ascii="Times New Roman" w:hAnsi="Times New Roman"/>
          <w:sz w:val="24"/>
          <w:szCs w:val="24"/>
        </w:rPr>
        <w:t xml:space="preserve">serine </w:t>
      </w:r>
      <w:r w:rsidR="00234552" w:rsidRPr="00234552">
        <w:rPr>
          <w:rFonts w:ascii="Times New Roman" w:hAnsi="Times New Roman"/>
          <w:sz w:val="24"/>
          <w:szCs w:val="24"/>
          <w:u w:color="FA5050"/>
        </w:rPr>
        <w:t>is</w:t>
      </w:r>
      <w:r w:rsidR="00253F6E" w:rsidRPr="00234552">
        <w:rPr>
          <w:rFonts w:ascii="Times New Roman" w:hAnsi="Times New Roman"/>
          <w:sz w:val="24"/>
          <w:szCs w:val="24"/>
        </w:rPr>
        <w:t xml:space="preserve"> present in highest number (82). Further the amino acids Alanine, Glutamic, Glycine, Lucien, Serine, Threonine and Valine are also </w:t>
      </w:r>
      <w:r w:rsidR="00253F6E" w:rsidRPr="00234552">
        <w:rPr>
          <w:rFonts w:ascii="Times New Roman" w:hAnsi="Times New Roman"/>
          <w:sz w:val="24"/>
          <w:szCs w:val="24"/>
          <w:u w:color="FA5050"/>
        </w:rPr>
        <w:t xml:space="preserve">higher </w:t>
      </w:r>
      <w:r w:rsidR="00253F6E" w:rsidRPr="00234552">
        <w:rPr>
          <w:rFonts w:ascii="Times New Roman" w:hAnsi="Times New Roman"/>
          <w:sz w:val="24"/>
          <w:szCs w:val="24"/>
        </w:rPr>
        <w:t xml:space="preserve">number </w:t>
      </w:r>
      <w:r w:rsidR="002F3939" w:rsidRPr="00234552">
        <w:rPr>
          <w:rFonts w:ascii="Times New Roman" w:hAnsi="Times New Roman"/>
          <w:sz w:val="24"/>
          <w:szCs w:val="24"/>
        </w:rPr>
        <w:t xml:space="preserve">for </w:t>
      </w:r>
      <w:r w:rsidR="00253F6E" w:rsidRPr="00234552">
        <w:rPr>
          <w:rFonts w:ascii="Times New Roman" w:hAnsi="Times New Roman"/>
          <w:sz w:val="24"/>
          <w:szCs w:val="24"/>
        </w:rPr>
        <w:t xml:space="preserve">45, 45, 29 and 28 respectively. The negatively charged amino acid </w:t>
      </w:r>
      <w:r w:rsidR="00253F6E" w:rsidRPr="00234552">
        <w:rPr>
          <w:rFonts w:ascii="Times New Roman" w:hAnsi="Times New Roman"/>
          <w:sz w:val="24"/>
          <w:szCs w:val="24"/>
          <w:u w:color="FA5050"/>
        </w:rPr>
        <w:t>aspartic</w:t>
      </w:r>
      <w:r w:rsidR="00253F6E" w:rsidRPr="00234552">
        <w:rPr>
          <w:rFonts w:ascii="Times New Roman" w:hAnsi="Times New Roman"/>
          <w:sz w:val="24"/>
          <w:szCs w:val="24"/>
        </w:rPr>
        <w:t xml:space="preserve"> is lesser than the </w:t>
      </w:r>
      <w:r w:rsidR="00253F6E" w:rsidRPr="00234552">
        <w:rPr>
          <w:rFonts w:ascii="Times New Roman" w:hAnsi="Times New Roman"/>
          <w:sz w:val="24"/>
          <w:szCs w:val="24"/>
          <w:u w:color="FA5050"/>
        </w:rPr>
        <w:t>glutamate</w:t>
      </w:r>
      <w:r w:rsidR="00253F6E" w:rsidRPr="00234552">
        <w:rPr>
          <w:rFonts w:ascii="Times New Roman" w:hAnsi="Times New Roman"/>
          <w:sz w:val="24"/>
          <w:szCs w:val="24"/>
        </w:rPr>
        <w:t xml:space="preserve"> acid. The positively charged amino acid arginine is lesser than the Serine. It has the estimated half-life of 30 hours. Its instability index is 46.16 and its aliphatic index is 85.40. It has the grand average of </w:t>
      </w:r>
      <w:r w:rsidR="00253F6E" w:rsidRPr="00234552">
        <w:rPr>
          <w:rFonts w:ascii="Times New Roman" w:hAnsi="Times New Roman"/>
          <w:sz w:val="24"/>
          <w:szCs w:val="24"/>
          <w:u w:color="FA5050"/>
        </w:rPr>
        <w:t>hydropathy</w:t>
      </w:r>
      <w:r w:rsidR="00253F6E" w:rsidRPr="00234552">
        <w:rPr>
          <w:rFonts w:ascii="Times New Roman" w:hAnsi="Times New Roman"/>
          <w:sz w:val="24"/>
          <w:szCs w:val="24"/>
        </w:rPr>
        <w:t xml:space="preserve"> city.</w:t>
      </w:r>
      <w:r w:rsidR="00253F6E" w:rsidRPr="00234552">
        <w:rPr>
          <w:rFonts w:ascii="Times New Roman" w:eastAsia="Times New Roman" w:hAnsi="Times New Roman"/>
          <w:sz w:val="24"/>
          <w:szCs w:val="24"/>
        </w:rPr>
        <w:t xml:space="preserve"> </w:t>
      </w:r>
      <w:r w:rsidR="00253F6E" w:rsidRPr="00234552">
        <w:rPr>
          <w:rFonts w:ascii="Times New Roman" w:hAnsi="Times New Roman"/>
          <w:sz w:val="24"/>
          <w:szCs w:val="24"/>
        </w:rPr>
        <w:t xml:space="preserve">Fc receptor-like protein3 has 11295 atoms. Among them the carbon, hydrogen, nitrogen, oxygen and </w:t>
      </w:r>
      <w:r w:rsidR="00253F6E" w:rsidRPr="00A34730">
        <w:rPr>
          <w:rFonts w:ascii="Times New Roman" w:hAnsi="Times New Roman"/>
          <w:noProof/>
          <w:sz w:val="24"/>
          <w:szCs w:val="24"/>
        </w:rPr>
        <w:t>sulphur</w:t>
      </w:r>
      <w:r w:rsidR="00253F6E" w:rsidRPr="00234552">
        <w:rPr>
          <w:rFonts w:ascii="Times New Roman" w:hAnsi="Times New Roman"/>
          <w:sz w:val="24"/>
          <w:szCs w:val="24"/>
        </w:rPr>
        <w:t xml:space="preserve"> atoms are present in 3556, 5603, 1019, 1095 and 22 numbers respectively. The secondary structure </w:t>
      </w:r>
      <w:r w:rsidR="00234552">
        <w:rPr>
          <w:rFonts w:ascii="Times New Roman" w:hAnsi="Times New Roman"/>
          <w:sz w:val="24"/>
          <w:szCs w:val="24"/>
        </w:rPr>
        <w:t xml:space="preserve">(Figure 2) </w:t>
      </w:r>
      <w:r w:rsidR="00253F6E" w:rsidRPr="00234552">
        <w:rPr>
          <w:rFonts w:ascii="Times New Roman" w:hAnsi="Times New Roman"/>
          <w:sz w:val="24"/>
          <w:szCs w:val="24"/>
        </w:rPr>
        <w:t xml:space="preserve">of Fc receptor-like protein3 has </w:t>
      </w:r>
      <w:r w:rsidR="00253F6E" w:rsidRPr="00234552">
        <w:rPr>
          <w:rFonts w:ascii="Times New Roman" w:hAnsi="Times New Roman"/>
          <w:sz w:val="24"/>
          <w:szCs w:val="24"/>
          <w:u w:color="FA5050"/>
        </w:rPr>
        <w:t>402%</w:t>
      </w:r>
      <w:r w:rsidR="00253F6E" w:rsidRPr="00234552">
        <w:rPr>
          <w:rFonts w:ascii="Times New Roman" w:hAnsi="Times New Roman"/>
          <w:sz w:val="24"/>
          <w:szCs w:val="24"/>
        </w:rPr>
        <w:t xml:space="preserve"> alpha helix, </w:t>
      </w:r>
      <w:r w:rsidR="00253F6E" w:rsidRPr="00234552">
        <w:rPr>
          <w:rFonts w:ascii="Times New Roman" w:hAnsi="Times New Roman"/>
          <w:sz w:val="24"/>
          <w:szCs w:val="24"/>
          <w:u w:color="FA5050"/>
        </w:rPr>
        <w:t>103%</w:t>
      </w:r>
      <w:r w:rsidR="00253F6E" w:rsidRPr="00234552">
        <w:rPr>
          <w:rFonts w:ascii="Times New Roman" w:hAnsi="Times New Roman"/>
          <w:sz w:val="24"/>
          <w:szCs w:val="24"/>
        </w:rPr>
        <w:t xml:space="preserve"> extended strand, </w:t>
      </w:r>
      <w:r w:rsidR="00253F6E" w:rsidRPr="00234552">
        <w:rPr>
          <w:rFonts w:ascii="Times New Roman" w:hAnsi="Times New Roman"/>
          <w:sz w:val="24"/>
          <w:szCs w:val="24"/>
          <w:u w:color="FA5050"/>
        </w:rPr>
        <w:t>34.8%</w:t>
      </w:r>
      <w:r w:rsidR="00253F6E" w:rsidRPr="00234552">
        <w:rPr>
          <w:rFonts w:ascii="Times New Roman" w:hAnsi="Times New Roman"/>
          <w:sz w:val="24"/>
          <w:szCs w:val="24"/>
        </w:rPr>
        <w:t xml:space="preserve"> beta turns and 38. 1% </w:t>
      </w:r>
      <w:r w:rsidR="00253F6E" w:rsidRPr="00234552">
        <w:rPr>
          <w:rFonts w:ascii="Times New Roman" w:hAnsi="Times New Roman"/>
          <w:sz w:val="24"/>
          <w:szCs w:val="24"/>
        </w:rPr>
        <w:lastRenderedPageBreak/>
        <w:t xml:space="preserve">random coil. The Ramachandran plot showed that Fc receptor-like protein has 225amino acids (87.5%) are in </w:t>
      </w:r>
      <w:r w:rsidR="00253F6E" w:rsidRPr="00234552">
        <w:rPr>
          <w:rFonts w:ascii="Times New Roman" w:hAnsi="Times New Roman"/>
          <w:sz w:val="24"/>
          <w:szCs w:val="24"/>
          <w:u w:color="FA5050"/>
        </w:rPr>
        <w:t xml:space="preserve">a </w:t>
      </w:r>
      <w:r w:rsidR="00253F6E" w:rsidRPr="00A34730">
        <w:rPr>
          <w:rFonts w:ascii="Times New Roman" w:hAnsi="Times New Roman"/>
          <w:noProof/>
          <w:sz w:val="24"/>
          <w:szCs w:val="24"/>
        </w:rPr>
        <w:t>favored</w:t>
      </w:r>
      <w:r w:rsidR="00253F6E" w:rsidRPr="00234552">
        <w:rPr>
          <w:rFonts w:ascii="Times New Roman" w:hAnsi="Times New Roman"/>
          <w:sz w:val="24"/>
          <w:szCs w:val="24"/>
        </w:rPr>
        <w:t xml:space="preserve"> region 23(8.9%) are allowed region and 9 (3.4%) are in outlier region. This proves that the </w:t>
      </w:r>
      <w:r w:rsidR="00253F6E" w:rsidRPr="00234552">
        <w:rPr>
          <w:rFonts w:ascii="Times New Roman" w:hAnsi="Times New Roman"/>
          <w:sz w:val="24"/>
          <w:szCs w:val="24"/>
          <w:u w:color="FA5050"/>
        </w:rPr>
        <w:t>predicted</w:t>
      </w:r>
      <w:r w:rsidR="00253F6E" w:rsidRPr="00234552">
        <w:rPr>
          <w:rFonts w:ascii="Times New Roman" w:hAnsi="Times New Roman"/>
          <w:sz w:val="24"/>
          <w:szCs w:val="24"/>
        </w:rPr>
        <w:t xml:space="preserve"> model is acceptable. CASTp predicated the actives sites. Fc receptor-like protein3 structure has 38 active sites. Fc receptor-like protein3 has four large active sites (35, 36, 37, 38) and one small active site (9). Docking </w:t>
      </w:r>
      <w:r w:rsidR="00234552">
        <w:rPr>
          <w:rFonts w:ascii="Times New Roman" w:hAnsi="Times New Roman"/>
          <w:sz w:val="24"/>
          <w:szCs w:val="24"/>
        </w:rPr>
        <w:t xml:space="preserve">(Figure 3 and 4) </w:t>
      </w:r>
      <w:r w:rsidR="00253F6E" w:rsidRPr="00234552">
        <w:rPr>
          <w:rFonts w:ascii="Times New Roman" w:hAnsi="Times New Roman"/>
          <w:sz w:val="24"/>
          <w:szCs w:val="24"/>
        </w:rPr>
        <w:t xml:space="preserve">of Fc receptor-like protein3 with selected 1 herbal antibiotic (ACETAMINOPHEN) and 1 allopathic antibiotic (METHIMAZOLE) were performed by the use of the </w:t>
      </w:r>
      <w:r w:rsidR="00253F6E" w:rsidRPr="00234552">
        <w:rPr>
          <w:rFonts w:ascii="Times New Roman" w:hAnsi="Times New Roman"/>
          <w:sz w:val="24"/>
          <w:szCs w:val="24"/>
          <w:u w:color="FA5050"/>
        </w:rPr>
        <w:t>Tool</w:t>
      </w:r>
      <w:r w:rsidR="00253F6E" w:rsidRPr="00234552">
        <w:rPr>
          <w:rFonts w:ascii="Times New Roman" w:hAnsi="Times New Roman"/>
          <w:sz w:val="24"/>
          <w:szCs w:val="24"/>
        </w:rPr>
        <w:t xml:space="preserve"> Hex 6.3.  </w:t>
      </w:r>
    </w:p>
    <w:p w:rsidR="00084A29" w:rsidRPr="00234552" w:rsidRDefault="00084A29" w:rsidP="00F82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234552" w:rsidRPr="00234552" w:rsidRDefault="00234552" w:rsidP="00234552">
      <w:pPr>
        <w:rPr>
          <w:rFonts w:ascii="Times New Roman" w:hAnsi="Times New Roman"/>
          <w:b/>
          <w:sz w:val="24"/>
          <w:szCs w:val="24"/>
        </w:rPr>
      </w:pPr>
      <w:r>
        <w:rPr>
          <w:rFonts w:ascii="Times New Roman" w:eastAsia="Times New Roman" w:hAnsi="Times New Roman"/>
          <w:b/>
          <w:sz w:val="24"/>
          <w:szCs w:val="24"/>
        </w:rPr>
        <w:t xml:space="preserve">Table 1. </w:t>
      </w:r>
      <w:r w:rsidRPr="00234552">
        <w:rPr>
          <w:rFonts w:ascii="Times New Roman" w:eastAsia="Times New Roman" w:hAnsi="Times New Roman"/>
          <w:sz w:val="24"/>
          <w:szCs w:val="24"/>
        </w:rPr>
        <w:t xml:space="preserve">Herbal drug and Allopathic drug docking in </w:t>
      </w:r>
      <w:r w:rsidR="009D3A53" w:rsidRPr="00234552">
        <w:rPr>
          <w:rFonts w:ascii="Times New Roman" w:eastAsia="Times New Roman" w:hAnsi="Times New Roman"/>
          <w:sz w:val="24"/>
          <w:szCs w:val="24"/>
        </w:rPr>
        <w:t>Graves’s</w:t>
      </w:r>
      <w:r w:rsidRPr="00234552">
        <w:rPr>
          <w:rFonts w:ascii="Times New Roman" w:eastAsia="Times New Roman" w:hAnsi="Times New Roman"/>
          <w:sz w:val="24"/>
          <w:szCs w:val="24"/>
        </w:rPr>
        <w:t xml:space="preserve"> disease FCRL3</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686"/>
        <w:gridCol w:w="1536"/>
        <w:gridCol w:w="1531"/>
        <w:gridCol w:w="1534"/>
        <w:gridCol w:w="1505"/>
        <w:gridCol w:w="1451"/>
      </w:tblGrid>
      <w:tr w:rsidR="00234552" w:rsidRPr="00234552" w:rsidTr="009D3A53">
        <w:tc>
          <w:tcPr>
            <w:tcW w:w="5000" w:type="pct"/>
            <w:gridSpan w:val="6"/>
            <w:tcBorders>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b/>
                <w:sz w:val="24"/>
                <w:szCs w:val="24"/>
              </w:rPr>
            </w:pPr>
            <w:r w:rsidRPr="00234552">
              <w:rPr>
                <w:rFonts w:ascii="Times New Roman" w:eastAsia="Times New Roman" w:hAnsi="Times New Roman"/>
                <w:b/>
                <w:sz w:val="24"/>
                <w:szCs w:val="24"/>
              </w:rPr>
              <w:t xml:space="preserve">                                                      Herbal drug</w:t>
            </w:r>
          </w:p>
        </w:tc>
      </w:tr>
      <w:tr w:rsidR="00234552" w:rsidRPr="00234552" w:rsidTr="009D3A53">
        <w:trPr>
          <w:trHeight w:val="342"/>
        </w:trPr>
        <w:tc>
          <w:tcPr>
            <w:tcW w:w="912"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Ligand</w:t>
            </w:r>
          </w:p>
        </w:tc>
        <w:tc>
          <w:tcPr>
            <w:tcW w:w="831"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E.TOTAL</w:t>
            </w:r>
          </w:p>
        </w:tc>
        <w:tc>
          <w:tcPr>
            <w:tcW w:w="828"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E.SHAPE</w:t>
            </w:r>
          </w:p>
        </w:tc>
        <w:tc>
          <w:tcPr>
            <w:tcW w:w="830"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E.FORCE</w:t>
            </w:r>
          </w:p>
        </w:tc>
        <w:tc>
          <w:tcPr>
            <w:tcW w:w="814"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BUMPS</w:t>
            </w:r>
          </w:p>
        </w:tc>
        <w:tc>
          <w:tcPr>
            <w:tcW w:w="786" w:type="pct"/>
            <w:tcBorders>
              <w:top w:val="single" w:sz="4" w:space="0" w:color="auto"/>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RMS</w:t>
            </w:r>
          </w:p>
        </w:tc>
      </w:tr>
      <w:tr w:rsidR="00234552" w:rsidRPr="00234552" w:rsidTr="009D3A53">
        <w:tc>
          <w:tcPr>
            <w:tcW w:w="912"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Acetaminopen</w:t>
            </w:r>
          </w:p>
        </w:tc>
        <w:tc>
          <w:tcPr>
            <w:tcW w:w="831"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-119.86</w:t>
            </w:r>
          </w:p>
        </w:tc>
        <w:tc>
          <w:tcPr>
            <w:tcW w:w="828"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-119.86</w:t>
            </w:r>
          </w:p>
        </w:tc>
        <w:tc>
          <w:tcPr>
            <w:tcW w:w="830"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0.00</w:t>
            </w:r>
          </w:p>
        </w:tc>
        <w:tc>
          <w:tcPr>
            <w:tcW w:w="814"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w:t>
            </w:r>
          </w:p>
        </w:tc>
        <w:tc>
          <w:tcPr>
            <w:tcW w:w="786"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-1.00</w:t>
            </w:r>
          </w:p>
        </w:tc>
      </w:tr>
      <w:tr w:rsidR="00234552" w:rsidRPr="00234552" w:rsidTr="009D3A53">
        <w:trPr>
          <w:trHeight w:val="225"/>
        </w:trPr>
        <w:tc>
          <w:tcPr>
            <w:tcW w:w="5000" w:type="pct"/>
            <w:gridSpan w:val="6"/>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b/>
                <w:sz w:val="24"/>
                <w:szCs w:val="24"/>
              </w:rPr>
            </w:pPr>
            <w:r w:rsidRPr="00234552">
              <w:rPr>
                <w:rFonts w:ascii="Times New Roman" w:eastAsia="Times New Roman" w:hAnsi="Times New Roman"/>
                <w:b/>
                <w:sz w:val="24"/>
                <w:szCs w:val="24"/>
              </w:rPr>
              <w:t xml:space="preserve">                                                   Allopathic drugs</w:t>
            </w:r>
          </w:p>
        </w:tc>
      </w:tr>
      <w:tr w:rsidR="00234552" w:rsidRPr="00234552" w:rsidTr="009D3A53">
        <w:tc>
          <w:tcPr>
            <w:tcW w:w="912"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Ligand</w:t>
            </w:r>
          </w:p>
        </w:tc>
        <w:tc>
          <w:tcPr>
            <w:tcW w:w="831"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E.TOTAL</w:t>
            </w:r>
          </w:p>
        </w:tc>
        <w:tc>
          <w:tcPr>
            <w:tcW w:w="828"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E.SHAPE</w:t>
            </w:r>
          </w:p>
        </w:tc>
        <w:tc>
          <w:tcPr>
            <w:tcW w:w="830"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E.FORCE</w:t>
            </w:r>
          </w:p>
        </w:tc>
        <w:tc>
          <w:tcPr>
            <w:tcW w:w="814"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BUMPS</w:t>
            </w:r>
          </w:p>
        </w:tc>
        <w:tc>
          <w:tcPr>
            <w:tcW w:w="786" w:type="pct"/>
            <w:tcBorders>
              <w:top w:val="nil"/>
              <w:bottom w:val="nil"/>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RMS</w:t>
            </w:r>
          </w:p>
        </w:tc>
      </w:tr>
      <w:tr w:rsidR="00234552" w:rsidRPr="00234552" w:rsidTr="009D3A53">
        <w:tc>
          <w:tcPr>
            <w:tcW w:w="912"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Methimazole</w:t>
            </w:r>
          </w:p>
        </w:tc>
        <w:tc>
          <w:tcPr>
            <w:tcW w:w="831"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-101.42</w:t>
            </w:r>
          </w:p>
        </w:tc>
        <w:tc>
          <w:tcPr>
            <w:tcW w:w="828"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-101.42</w:t>
            </w:r>
          </w:p>
        </w:tc>
        <w:tc>
          <w:tcPr>
            <w:tcW w:w="830"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-0.00</w:t>
            </w:r>
          </w:p>
        </w:tc>
        <w:tc>
          <w:tcPr>
            <w:tcW w:w="814"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w:t>
            </w:r>
          </w:p>
        </w:tc>
        <w:tc>
          <w:tcPr>
            <w:tcW w:w="786" w:type="pct"/>
            <w:tcBorders>
              <w:top w:val="nil"/>
              <w:bottom w:val="single" w:sz="4" w:space="0" w:color="auto"/>
            </w:tcBorders>
          </w:tcPr>
          <w:p w:rsidR="00234552" w:rsidRPr="00234552" w:rsidRDefault="00234552" w:rsidP="00234552">
            <w:pPr>
              <w:tabs>
                <w:tab w:val="left" w:pos="330"/>
              </w:tabs>
              <w:spacing w:line="276" w:lineRule="auto"/>
              <w:rPr>
                <w:rFonts w:ascii="Times New Roman" w:eastAsia="Times New Roman" w:hAnsi="Times New Roman"/>
                <w:sz w:val="24"/>
                <w:szCs w:val="24"/>
              </w:rPr>
            </w:pPr>
            <w:r w:rsidRPr="00234552">
              <w:rPr>
                <w:rFonts w:ascii="Times New Roman" w:eastAsia="Times New Roman" w:hAnsi="Times New Roman"/>
                <w:sz w:val="24"/>
                <w:szCs w:val="24"/>
              </w:rPr>
              <w:t>-1.00</w:t>
            </w:r>
          </w:p>
        </w:tc>
      </w:tr>
    </w:tbl>
    <w:p w:rsidR="00234552" w:rsidRDefault="00234552" w:rsidP="00234552">
      <w:pPr>
        <w:rPr>
          <w:rFonts w:ascii="Times New Roman" w:hAnsi="Times New Roman"/>
          <w:b/>
          <w:sz w:val="24"/>
          <w:szCs w:val="24"/>
        </w:rPr>
      </w:pPr>
    </w:p>
    <w:p w:rsidR="00234552" w:rsidRDefault="00234552" w:rsidP="00234552">
      <w:pPr>
        <w:rPr>
          <w:rFonts w:ascii="Times New Roman" w:hAnsi="Times New Roman"/>
          <w:b/>
          <w:sz w:val="24"/>
          <w:szCs w:val="24"/>
        </w:rPr>
      </w:pPr>
    </w:p>
    <w:p w:rsidR="006868DE" w:rsidRPr="00234552" w:rsidRDefault="006868DE" w:rsidP="00F82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253F6E" w:rsidRPr="00234552" w:rsidRDefault="00234552" w:rsidP="00F82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24"/>
          <w:szCs w:val="24"/>
        </w:rPr>
      </w:pPr>
      <w:r>
        <w:rPr>
          <w:rFonts w:ascii="Times New Roman" w:hAnsi="Times New Roman"/>
          <w:b/>
          <w:sz w:val="24"/>
          <w:szCs w:val="24"/>
        </w:rPr>
        <w:t xml:space="preserve"> Figure </w:t>
      </w:r>
      <w:r w:rsidR="00253F6E" w:rsidRPr="00234552">
        <w:rPr>
          <w:rFonts w:ascii="Times New Roman" w:hAnsi="Times New Roman"/>
          <w:b/>
          <w:sz w:val="24"/>
          <w:szCs w:val="24"/>
        </w:rPr>
        <w:t>1</w:t>
      </w:r>
      <w:r>
        <w:rPr>
          <w:rFonts w:ascii="Times New Roman" w:hAnsi="Times New Roman"/>
          <w:b/>
          <w:sz w:val="24"/>
          <w:szCs w:val="24"/>
        </w:rPr>
        <w:t xml:space="preserve">. </w:t>
      </w:r>
      <w:r w:rsidR="00BF3A6A">
        <w:rPr>
          <w:rFonts w:ascii="Times New Roman" w:hAnsi="Times New Roman"/>
          <w:sz w:val="24"/>
          <w:szCs w:val="24"/>
        </w:rPr>
        <w:t xml:space="preserve">Herbal drug </w:t>
      </w:r>
      <w:r w:rsidR="00253F6E" w:rsidRPr="00A34730">
        <w:rPr>
          <w:rFonts w:ascii="Times New Roman" w:hAnsi="Times New Roman"/>
          <w:noProof/>
          <w:sz w:val="24"/>
          <w:szCs w:val="24"/>
        </w:rPr>
        <w:t>ac</w:t>
      </w:r>
      <w:r w:rsidR="00A34730">
        <w:rPr>
          <w:rFonts w:ascii="Times New Roman" w:hAnsi="Times New Roman"/>
          <w:noProof/>
          <w:sz w:val="24"/>
          <w:szCs w:val="24"/>
        </w:rPr>
        <w:t>e</w:t>
      </w:r>
      <w:r w:rsidR="00253F6E" w:rsidRPr="00A34730">
        <w:rPr>
          <w:rFonts w:ascii="Times New Roman" w:hAnsi="Times New Roman"/>
          <w:noProof/>
          <w:sz w:val="24"/>
          <w:szCs w:val="24"/>
        </w:rPr>
        <w:t>taminophen</w:t>
      </w:r>
      <w:r w:rsidR="00253F6E" w:rsidRPr="00234552">
        <w:rPr>
          <w:rFonts w:ascii="Times New Roman" w:hAnsi="Times New Roman"/>
          <w:sz w:val="24"/>
          <w:szCs w:val="24"/>
        </w:rPr>
        <w:t>-chemical structure</w:t>
      </w:r>
      <w:r w:rsidR="00253F6E" w:rsidRPr="00234552">
        <w:rPr>
          <w:rFonts w:ascii="Times New Roman" w:hAnsi="Times New Roman"/>
          <w:b/>
          <w:sz w:val="24"/>
          <w:szCs w:val="24"/>
        </w:rPr>
        <w:t xml:space="preserve"> </w:t>
      </w:r>
    </w:p>
    <w:p w:rsidR="00253F6E" w:rsidRPr="00234552" w:rsidRDefault="00253F6E" w:rsidP="00F8213A">
      <w:pPr>
        <w:pStyle w:val="NormalWeb"/>
        <w:shd w:val="clear" w:color="auto" w:fill="FFFFFF"/>
        <w:spacing w:before="120" w:beforeAutospacing="0" w:after="120" w:afterAutospacing="0" w:line="276" w:lineRule="auto"/>
        <w:jc w:val="both"/>
      </w:pPr>
      <w:r w:rsidRPr="00234552">
        <w:t xml:space="preserve">  </w:t>
      </w:r>
      <w:r w:rsidRPr="00234552">
        <w:rPr>
          <w:noProof/>
        </w:rPr>
        <w:drawing>
          <wp:inline distT="0" distB="0" distL="0" distR="0">
            <wp:extent cx="1524000" cy="19716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24000" cy="1971675"/>
                    </a:xfrm>
                    <a:prstGeom prst="rect">
                      <a:avLst/>
                    </a:prstGeom>
                    <a:noFill/>
                    <a:ln w="9525">
                      <a:noFill/>
                      <a:miter lim="800000"/>
                      <a:headEnd/>
                      <a:tailEnd/>
                    </a:ln>
                  </pic:spPr>
                </pic:pic>
              </a:graphicData>
            </a:graphic>
          </wp:inline>
        </w:drawing>
      </w:r>
      <w:r w:rsidRPr="00234552">
        <w:rPr>
          <w:noProof/>
        </w:rPr>
        <w:drawing>
          <wp:inline distT="0" distB="0" distL="0" distR="0">
            <wp:extent cx="1428750" cy="1962149"/>
            <wp:effectExtent l="19050" t="0" r="0" b="1"/>
            <wp:docPr id="4" name="Picture 3" descr="black_walnuts_cleaned_and_cu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_walnuts_cleaned_and_cured1"/>
                    <pic:cNvPicPr>
                      <a:picLocks noChangeAspect="1" noChangeArrowheads="1"/>
                    </pic:cNvPicPr>
                  </pic:nvPicPr>
                  <pic:blipFill>
                    <a:blip r:embed="rId13"/>
                    <a:srcRect/>
                    <a:stretch>
                      <a:fillRect/>
                    </a:stretch>
                  </pic:blipFill>
                  <pic:spPr bwMode="auto">
                    <a:xfrm>
                      <a:off x="0" y="0"/>
                      <a:ext cx="1431035" cy="1965288"/>
                    </a:xfrm>
                    <a:prstGeom prst="rect">
                      <a:avLst/>
                    </a:prstGeom>
                    <a:noFill/>
                    <a:ln w="9525">
                      <a:noFill/>
                      <a:miter lim="800000"/>
                      <a:headEnd/>
                      <a:tailEnd/>
                    </a:ln>
                  </pic:spPr>
                </pic:pic>
              </a:graphicData>
            </a:graphic>
          </wp:inline>
        </w:drawing>
      </w:r>
      <w:r w:rsidRPr="00234552">
        <w:rPr>
          <w:noProof/>
        </w:rPr>
        <w:drawing>
          <wp:inline distT="0" distB="0" distL="0" distR="0">
            <wp:extent cx="2333625" cy="196215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168" t="14293" r="1628" b="15598"/>
                    <a:stretch>
                      <a:fillRect/>
                    </a:stretch>
                  </pic:blipFill>
                  <pic:spPr bwMode="auto">
                    <a:xfrm>
                      <a:off x="0" y="0"/>
                      <a:ext cx="2333625" cy="1962150"/>
                    </a:xfrm>
                    <a:prstGeom prst="rect">
                      <a:avLst/>
                    </a:prstGeom>
                    <a:noFill/>
                    <a:ln w="9525">
                      <a:noFill/>
                      <a:miter lim="800000"/>
                      <a:headEnd/>
                      <a:tailEnd/>
                    </a:ln>
                  </pic:spPr>
                </pic:pic>
              </a:graphicData>
            </a:graphic>
          </wp:inline>
        </w:drawing>
      </w:r>
    </w:p>
    <w:p w:rsidR="00234552" w:rsidRDefault="00234552" w:rsidP="00F8213A">
      <w:pPr>
        <w:pStyle w:val="NormalWeb"/>
        <w:shd w:val="clear" w:color="auto" w:fill="FFFFFF"/>
        <w:spacing w:before="120" w:beforeAutospacing="0" w:after="120" w:afterAutospacing="0" w:line="276" w:lineRule="auto"/>
        <w:jc w:val="both"/>
        <w:rPr>
          <w:b/>
        </w:rPr>
      </w:pPr>
    </w:p>
    <w:p w:rsidR="00234552" w:rsidRDefault="00234552" w:rsidP="00F8213A">
      <w:pPr>
        <w:pStyle w:val="NormalWeb"/>
        <w:shd w:val="clear" w:color="auto" w:fill="FFFFFF"/>
        <w:spacing w:before="120" w:beforeAutospacing="0" w:after="120" w:afterAutospacing="0" w:line="276" w:lineRule="auto"/>
        <w:jc w:val="both"/>
        <w:rPr>
          <w:b/>
        </w:rPr>
      </w:pPr>
    </w:p>
    <w:p w:rsidR="007C489A" w:rsidRDefault="007C489A" w:rsidP="00F8213A">
      <w:pPr>
        <w:pStyle w:val="NormalWeb"/>
        <w:shd w:val="clear" w:color="auto" w:fill="FFFFFF"/>
        <w:spacing w:before="120" w:beforeAutospacing="0" w:after="120" w:afterAutospacing="0" w:line="276" w:lineRule="auto"/>
        <w:jc w:val="both"/>
        <w:rPr>
          <w:b/>
        </w:rPr>
      </w:pPr>
    </w:p>
    <w:p w:rsidR="00234552" w:rsidRDefault="00234552" w:rsidP="00F8213A">
      <w:pPr>
        <w:pStyle w:val="NormalWeb"/>
        <w:shd w:val="clear" w:color="auto" w:fill="FFFFFF"/>
        <w:spacing w:before="120" w:beforeAutospacing="0" w:after="120" w:afterAutospacing="0" w:line="276" w:lineRule="auto"/>
        <w:jc w:val="both"/>
        <w:rPr>
          <w:b/>
        </w:rPr>
      </w:pPr>
    </w:p>
    <w:p w:rsidR="00253F6E" w:rsidRPr="00234552" w:rsidRDefault="00234552" w:rsidP="00F8213A">
      <w:pPr>
        <w:pStyle w:val="NormalWeb"/>
        <w:shd w:val="clear" w:color="auto" w:fill="FFFFFF"/>
        <w:spacing w:before="120" w:beforeAutospacing="0" w:after="120" w:afterAutospacing="0" w:line="276" w:lineRule="auto"/>
        <w:jc w:val="both"/>
        <w:rPr>
          <w:b/>
        </w:rPr>
      </w:pPr>
      <w:r>
        <w:rPr>
          <w:b/>
          <w:noProof/>
        </w:rPr>
        <w:drawing>
          <wp:anchor distT="0" distB="0" distL="114300" distR="114300" simplePos="0" relativeHeight="251658240" behindDoc="0" locked="0" layoutInCell="1" allowOverlap="1">
            <wp:simplePos x="0" y="0"/>
            <wp:positionH relativeFrom="column">
              <wp:posOffset>3067050</wp:posOffset>
            </wp:positionH>
            <wp:positionV relativeFrom="paragraph">
              <wp:posOffset>221615</wp:posOffset>
            </wp:positionV>
            <wp:extent cx="2762250" cy="1905000"/>
            <wp:effectExtent l="19050" t="0" r="0" b="0"/>
            <wp:wrapNone/>
            <wp:docPr id="17" name="Picture 7" descr="250px-Thiamazole_ball-and-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px-Thiamazole_ball-and-stick"/>
                    <pic:cNvPicPr>
                      <a:picLocks noChangeAspect="1" noChangeArrowheads="1"/>
                    </pic:cNvPicPr>
                  </pic:nvPicPr>
                  <pic:blipFill>
                    <a:blip r:embed="rId15"/>
                    <a:srcRect l="13713" t="1863" r="11877" b="6705"/>
                    <a:stretch>
                      <a:fillRect/>
                    </a:stretch>
                  </pic:blipFill>
                  <pic:spPr bwMode="auto">
                    <a:xfrm>
                      <a:off x="0" y="0"/>
                      <a:ext cx="2762250" cy="1905000"/>
                    </a:xfrm>
                    <a:prstGeom prst="rect">
                      <a:avLst/>
                    </a:prstGeom>
                    <a:noFill/>
                    <a:ln w="9525">
                      <a:noFill/>
                      <a:miter lim="800000"/>
                      <a:headEnd/>
                      <a:tailEnd/>
                    </a:ln>
                  </pic:spPr>
                </pic:pic>
              </a:graphicData>
            </a:graphic>
          </wp:anchor>
        </w:drawing>
      </w:r>
      <w:r>
        <w:rPr>
          <w:b/>
        </w:rPr>
        <w:t xml:space="preserve">Figure </w:t>
      </w:r>
      <w:r w:rsidR="00412F76">
        <w:rPr>
          <w:b/>
        </w:rPr>
        <w:t xml:space="preserve">2. </w:t>
      </w:r>
      <w:r w:rsidR="00BF3A6A">
        <w:t xml:space="preserve">Allopathic drug </w:t>
      </w:r>
      <w:r w:rsidR="00253F6E" w:rsidRPr="00412F76">
        <w:t>methimazole-chemical structure</w:t>
      </w:r>
    </w:p>
    <w:p w:rsidR="00253F6E" w:rsidRPr="00234552" w:rsidRDefault="00234552" w:rsidP="00F8213A">
      <w:pPr>
        <w:pStyle w:val="NormalWeb"/>
        <w:shd w:val="clear" w:color="auto" w:fill="FFFFFF"/>
        <w:spacing w:before="120" w:beforeAutospacing="0" w:after="120" w:afterAutospacing="0" w:line="276" w:lineRule="auto"/>
        <w:jc w:val="both"/>
        <w:rPr>
          <w:b/>
        </w:rPr>
      </w:pPr>
      <w:r>
        <w:rPr>
          <w:b/>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10795</wp:posOffset>
            </wp:positionV>
            <wp:extent cx="1581150" cy="1990725"/>
            <wp:effectExtent l="19050" t="0" r="0" b="0"/>
            <wp:wrapSquare wrapText="r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19238" r="30872" b="4263"/>
                    <a:stretch>
                      <a:fillRect/>
                    </a:stretch>
                  </pic:blipFill>
                  <pic:spPr bwMode="auto">
                    <a:xfrm>
                      <a:off x="0" y="0"/>
                      <a:ext cx="1581150" cy="1990725"/>
                    </a:xfrm>
                    <a:prstGeom prst="rect">
                      <a:avLst/>
                    </a:prstGeom>
                    <a:noFill/>
                    <a:ln w="9525">
                      <a:noFill/>
                      <a:miter lim="800000"/>
                      <a:headEnd/>
                      <a:tailEnd/>
                    </a:ln>
                  </pic:spPr>
                </pic:pic>
              </a:graphicData>
            </a:graphic>
          </wp:anchor>
        </w:drawing>
      </w:r>
      <w:r w:rsidR="00253F6E" w:rsidRPr="00234552">
        <w:rPr>
          <w:b/>
        </w:rPr>
        <w:t xml:space="preserve"> </w:t>
      </w:r>
    </w:p>
    <w:p w:rsidR="00253F6E" w:rsidRPr="00234552" w:rsidRDefault="00253F6E" w:rsidP="00F8213A">
      <w:pPr>
        <w:rPr>
          <w:rFonts w:ascii="Times New Roman" w:hAnsi="Times New Roman"/>
          <w:b/>
          <w:sz w:val="24"/>
          <w:szCs w:val="24"/>
          <w:u w:color="FA5050"/>
        </w:rPr>
      </w:pPr>
    </w:p>
    <w:p w:rsidR="006868DE" w:rsidRPr="00234552" w:rsidRDefault="006868DE" w:rsidP="00F8213A">
      <w:pPr>
        <w:rPr>
          <w:rFonts w:ascii="Times New Roman" w:hAnsi="Times New Roman"/>
          <w:b/>
          <w:sz w:val="24"/>
          <w:szCs w:val="24"/>
          <w:u w:color="FA5050"/>
        </w:rPr>
      </w:pPr>
    </w:p>
    <w:p w:rsidR="006868DE" w:rsidRPr="00234552" w:rsidRDefault="006868DE" w:rsidP="00F8213A">
      <w:pPr>
        <w:rPr>
          <w:rFonts w:ascii="Times New Roman" w:hAnsi="Times New Roman"/>
          <w:b/>
          <w:sz w:val="24"/>
          <w:szCs w:val="24"/>
          <w:u w:color="FA5050"/>
        </w:rPr>
      </w:pPr>
    </w:p>
    <w:p w:rsidR="006868DE" w:rsidRPr="00234552" w:rsidRDefault="006868DE" w:rsidP="00F8213A">
      <w:pPr>
        <w:rPr>
          <w:rFonts w:ascii="Times New Roman" w:hAnsi="Times New Roman"/>
          <w:b/>
          <w:sz w:val="24"/>
          <w:szCs w:val="24"/>
          <w:u w:color="FA5050"/>
        </w:rPr>
      </w:pPr>
    </w:p>
    <w:p w:rsidR="006868DE" w:rsidRPr="00234552" w:rsidRDefault="006868DE" w:rsidP="00F8213A">
      <w:pPr>
        <w:rPr>
          <w:rFonts w:ascii="Times New Roman" w:hAnsi="Times New Roman"/>
          <w:b/>
          <w:sz w:val="24"/>
          <w:szCs w:val="24"/>
          <w:u w:color="FA5050"/>
        </w:rPr>
      </w:pPr>
    </w:p>
    <w:p w:rsidR="006868DE" w:rsidRPr="00234552" w:rsidRDefault="006868DE" w:rsidP="00F8213A">
      <w:pPr>
        <w:rPr>
          <w:rFonts w:ascii="Times New Roman" w:hAnsi="Times New Roman"/>
          <w:b/>
          <w:sz w:val="24"/>
          <w:szCs w:val="24"/>
          <w:u w:color="FA5050"/>
        </w:rPr>
      </w:pPr>
    </w:p>
    <w:p w:rsidR="00253F6E" w:rsidRPr="00412F76" w:rsidRDefault="00234552" w:rsidP="00F8213A">
      <w:pPr>
        <w:rPr>
          <w:rFonts w:ascii="Times New Roman" w:hAnsi="Times New Roman"/>
          <w:sz w:val="24"/>
          <w:szCs w:val="24"/>
          <w:u w:color="FA5050"/>
        </w:rPr>
      </w:pPr>
      <w:r>
        <w:rPr>
          <w:rFonts w:ascii="Times New Roman" w:hAnsi="Times New Roman"/>
          <w:b/>
          <w:sz w:val="24"/>
          <w:szCs w:val="24"/>
          <w:u w:color="FA5050"/>
        </w:rPr>
        <w:t>Figure 3</w:t>
      </w:r>
      <w:r w:rsidR="00412F76">
        <w:rPr>
          <w:rFonts w:ascii="Times New Roman" w:hAnsi="Times New Roman"/>
          <w:b/>
          <w:sz w:val="24"/>
          <w:szCs w:val="24"/>
          <w:u w:color="FA5050"/>
        </w:rPr>
        <w:t xml:space="preserve">. </w:t>
      </w:r>
      <w:r w:rsidR="00253F6E" w:rsidRPr="00412F76">
        <w:rPr>
          <w:rFonts w:ascii="Times New Roman" w:hAnsi="Times New Roman"/>
          <w:sz w:val="24"/>
          <w:szCs w:val="24"/>
          <w:u w:color="FA5050"/>
        </w:rPr>
        <w:t xml:space="preserve">Herbal drug docking Graves disease FCRL3 with </w:t>
      </w:r>
      <w:r w:rsidR="00253F6E" w:rsidRPr="00A34730">
        <w:rPr>
          <w:rFonts w:ascii="Times New Roman" w:hAnsi="Times New Roman"/>
          <w:noProof/>
          <w:sz w:val="24"/>
          <w:szCs w:val="24"/>
        </w:rPr>
        <w:t>Acetaminop</w:t>
      </w:r>
      <w:r w:rsidR="00A34730">
        <w:rPr>
          <w:rFonts w:ascii="Times New Roman" w:hAnsi="Times New Roman"/>
          <w:noProof/>
          <w:sz w:val="24"/>
          <w:szCs w:val="24"/>
        </w:rPr>
        <w:t>h</w:t>
      </w:r>
      <w:r w:rsidR="00253F6E" w:rsidRPr="00A34730">
        <w:rPr>
          <w:rFonts w:ascii="Times New Roman" w:hAnsi="Times New Roman"/>
          <w:noProof/>
          <w:sz w:val="24"/>
          <w:szCs w:val="24"/>
        </w:rPr>
        <w:t>en</w:t>
      </w:r>
    </w:p>
    <w:p w:rsidR="00253F6E" w:rsidRPr="00234552" w:rsidRDefault="00253F6E" w:rsidP="00234552">
      <w:pPr>
        <w:pStyle w:val="ListParagraph"/>
        <w:numPr>
          <w:ilvl w:val="0"/>
          <w:numId w:val="9"/>
        </w:numPr>
        <w:rPr>
          <w:rFonts w:ascii="Times New Roman" w:hAnsi="Times New Roman"/>
          <w:b/>
          <w:sz w:val="24"/>
          <w:szCs w:val="24"/>
        </w:rPr>
      </w:pPr>
      <w:r w:rsidRPr="00234552">
        <w:rPr>
          <w:rFonts w:ascii="Times New Roman" w:hAnsi="Times New Roman"/>
          <w:b/>
          <w:sz w:val="24"/>
          <w:szCs w:val="24"/>
          <w:u w:color="FA5050"/>
        </w:rPr>
        <w:t>Before Docking                                                     b) After Docking</w:t>
      </w:r>
    </w:p>
    <w:p w:rsidR="00253F6E" w:rsidRPr="00234552" w:rsidRDefault="00253F6E" w:rsidP="00F8213A">
      <w:pPr>
        <w:rPr>
          <w:rFonts w:ascii="Times New Roman" w:hAnsi="Times New Roman"/>
          <w:sz w:val="24"/>
          <w:szCs w:val="24"/>
        </w:rPr>
      </w:pPr>
      <w:r w:rsidRPr="00234552">
        <w:rPr>
          <w:rFonts w:ascii="Times New Roman" w:hAnsi="Times New Roman"/>
          <w:noProof/>
          <w:sz w:val="24"/>
          <w:szCs w:val="24"/>
        </w:rPr>
        <w:drawing>
          <wp:inline distT="0" distB="0" distL="0" distR="0">
            <wp:extent cx="2419350" cy="15906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5592" t="17116" r="10855" b="7658"/>
                    <a:stretch>
                      <a:fillRect/>
                    </a:stretch>
                  </pic:blipFill>
                  <pic:spPr bwMode="auto">
                    <a:xfrm flipV="1">
                      <a:off x="0" y="0"/>
                      <a:ext cx="2419350" cy="1590675"/>
                    </a:xfrm>
                    <a:prstGeom prst="rect">
                      <a:avLst/>
                    </a:prstGeom>
                    <a:noFill/>
                    <a:ln w="9525">
                      <a:noFill/>
                      <a:miter lim="800000"/>
                      <a:headEnd/>
                      <a:tailEnd/>
                    </a:ln>
                  </pic:spPr>
                </pic:pic>
              </a:graphicData>
            </a:graphic>
          </wp:inline>
        </w:drawing>
      </w:r>
      <w:r w:rsidRPr="00234552">
        <w:rPr>
          <w:rFonts w:ascii="Times New Roman" w:hAnsi="Times New Roman"/>
          <w:noProof/>
          <w:sz w:val="24"/>
          <w:szCs w:val="24"/>
        </w:rPr>
        <w:drawing>
          <wp:inline distT="0" distB="0" distL="0" distR="0">
            <wp:extent cx="2495550" cy="1590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4795" t="17040" r="6849" b="8072"/>
                    <a:stretch>
                      <a:fillRect/>
                    </a:stretch>
                  </pic:blipFill>
                  <pic:spPr bwMode="auto">
                    <a:xfrm>
                      <a:off x="0" y="0"/>
                      <a:ext cx="2495550" cy="1590675"/>
                    </a:xfrm>
                    <a:prstGeom prst="rect">
                      <a:avLst/>
                    </a:prstGeom>
                    <a:noFill/>
                    <a:ln w="9525">
                      <a:noFill/>
                      <a:miter lim="800000"/>
                      <a:headEnd/>
                      <a:tailEnd/>
                    </a:ln>
                  </pic:spPr>
                </pic:pic>
              </a:graphicData>
            </a:graphic>
          </wp:inline>
        </w:drawing>
      </w:r>
    </w:p>
    <w:p w:rsidR="00234552" w:rsidRDefault="00253F6E" w:rsidP="00F8213A">
      <w:pPr>
        <w:rPr>
          <w:rFonts w:ascii="Times New Roman" w:hAnsi="Times New Roman"/>
          <w:b/>
          <w:sz w:val="24"/>
          <w:szCs w:val="24"/>
        </w:rPr>
      </w:pPr>
      <w:r w:rsidRPr="00234552">
        <w:rPr>
          <w:rFonts w:ascii="Times New Roman" w:hAnsi="Times New Roman"/>
          <w:b/>
          <w:sz w:val="24"/>
          <w:szCs w:val="24"/>
        </w:rPr>
        <w:t xml:space="preserve"> </w:t>
      </w:r>
    </w:p>
    <w:p w:rsidR="00412F76" w:rsidRDefault="00412F76" w:rsidP="00F8213A">
      <w:pPr>
        <w:rPr>
          <w:rFonts w:ascii="Times New Roman" w:hAnsi="Times New Roman"/>
          <w:b/>
          <w:sz w:val="24"/>
          <w:szCs w:val="24"/>
        </w:rPr>
      </w:pPr>
    </w:p>
    <w:p w:rsidR="00253F6E" w:rsidRPr="00234552" w:rsidRDefault="00234552" w:rsidP="00F8213A">
      <w:pPr>
        <w:rPr>
          <w:rFonts w:ascii="Times New Roman" w:hAnsi="Times New Roman"/>
          <w:b/>
          <w:sz w:val="24"/>
          <w:szCs w:val="24"/>
        </w:rPr>
      </w:pPr>
      <w:r>
        <w:rPr>
          <w:rFonts w:ascii="Times New Roman" w:hAnsi="Times New Roman"/>
          <w:b/>
          <w:sz w:val="24"/>
          <w:szCs w:val="24"/>
        </w:rPr>
        <w:t xml:space="preserve">Figure 4. </w:t>
      </w:r>
      <w:r w:rsidR="00253F6E" w:rsidRPr="00234552">
        <w:rPr>
          <w:rFonts w:ascii="Times New Roman" w:hAnsi="Times New Roman"/>
          <w:b/>
          <w:sz w:val="24"/>
          <w:szCs w:val="24"/>
        </w:rPr>
        <w:t xml:space="preserve"> </w:t>
      </w:r>
      <w:r w:rsidR="00253F6E" w:rsidRPr="00412F76">
        <w:rPr>
          <w:rFonts w:ascii="Times New Roman" w:hAnsi="Times New Roman"/>
          <w:sz w:val="24"/>
          <w:szCs w:val="24"/>
        </w:rPr>
        <w:t>Allopathic drug docking Graves disease FCRL3 with Methimazole</w:t>
      </w:r>
    </w:p>
    <w:p w:rsidR="00253F6E" w:rsidRPr="00412F76" w:rsidRDefault="00253F6E" w:rsidP="00412F76">
      <w:pPr>
        <w:pStyle w:val="ListParagraph"/>
        <w:numPr>
          <w:ilvl w:val="0"/>
          <w:numId w:val="10"/>
        </w:numPr>
        <w:rPr>
          <w:rFonts w:ascii="Times New Roman" w:hAnsi="Times New Roman"/>
          <w:b/>
          <w:sz w:val="24"/>
          <w:szCs w:val="24"/>
        </w:rPr>
      </w:pPr>
      <w:r w:rsidRPr="00412F76">
        <w:rPr>
          <w:rFonts w:ascii="Times New Roman" w:hAnsi="Times New Roman"/>
          <w:b/>
          <w:sz w:val="24"/>
          <w:szCs w:val="24"/>
          <w:u w:color="FA5050"/>
        </w:rPr>
        <w:t>Before Docking                                                    b) After Docking</w:t>
      </w:r>
    </w:p>
    <w:p w:rsidR="00253F6E" w:rsidRPr="00234552" w:rsidRDefault="00253F6E" w:rsidP="00F8213A">
      <w:pPr>
        <w:rPr>
          <w:rFonts w:ascii="Times New Roman" w:hAnsi="Times New Roman"/>
          <w:sz w:val="24"/>
          <w:szCs w:val="24"/>
        </w:rPr>
      </w:pPr>
      <w:r w:rsidRPr="00234552">
        <w:rPr>
          <w:rFonts w:ascii="Times New Roman" w:hAnsi="Times New Roman"/>
          <w:sz w:val="24"/>
          <w:szCs w:val="24"/>
        </w:rPr>
        <w:t xml:space="preserve">  </w:t>
      </w:r>
      <w:r w:rsidRPr="00234552">
        <w:rPr>
          <w:rFonts w:ascii="Times New Roman" w:hAnsi="Times New Roman"/>
          <w:noProof/>
          <w:sz w:val="24"/>
          <w:szCs w:val="24"/>
        </w:rPr>
        <w:drawing>
          <wp:inline distT="0" distB="0" distL="0" distR="0">
            <wp:extent cx="2135944" cy="1490593"/>
            <wp:effectExtent l="0" t="323850" r="0" b="300107"/>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401" t="16827" r="7483" b="8654"/>
                    <a:stretch>
                      <a:fillRect/>
                    </a:stretch>
                  </pic:blipFill>
                  <pic:spPr bwMode="auto">
                    <a:xfrm rot="16200000">
                      <a:off x="0" y="0"/>
                      <a:ext cx="2158473" cy="1506315"/>
                    </a:xfrm>
                    <a:prstGeom prst="rect">
                      <a:avLst/>
                    </a:prstGeom>
                    <a:noFill/>
                    <a:ln w="9525">
                      <a:noFill/>
                      <a:miter lim="800000"/>
                      <a:headEnd/>
                      <a:tailEnd/>
                    </a:ln>
                  </pic:spPr>
                </pic:pic>
              </a:graphicData>
            </a:graphic>
          </wp:inline>
        </w:drawing>
      </w:r>
      <w:r w:rsidRPr="00234552">
        <w:rPr>
          <w:rFonts w:ascii="Times New Roman" w:hAnsi="Times New Roman"/>
          <w:noProof/>
          <w:sz w:val="24"/>
          <w:szCs w:val="24"/>
        </w:rPr>
        <w:drawing>
          <wp:inline distT="0" distB="0" distL="0" distR="0">
            <wp:extent cx="1455305" cy="2222284"/>
            <wp:effectExtent l="400050" t="0" r="39254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3630" t="16827" r="7591" b="8654"/>
                    <a:stretch>
                      <a:fillRect/>
                    </a:stretch>
                  </pic:blipFill>
                  <pic:spPr bwMode="auto">
                    <a:xfrm rot="16200000">
                      <a:off x="0" y="0"/>
                      <a:ext cx="1455305" cy="2222284"/>
                    </a:xfrm>
                    <a:prstGeom prst="rect">
                      <a:avLst/>
                    </a:prstGeom>
                    <a:noFill/>
                    <a:ln w="9525">
                      <a:noFill/>
                      <a:miter lim="800000"/>
                      <a:headEnd/>
                      <a:tailEnd/>
                    </a:ln>
                  </pic:spPr>
                </pic:pic>
              </a:graphicData>
            </a:graphic>
          </wp:inline>
        </w:drawing>
      </w:r>
      <w:r w:rsidRPr="00234552">
        <w:rPr>
          <w:rFonts w:ascii="Times New Roman" w:hAnsi="Times New Roman"/>
          <w:sz w:val="24"/>
          <w:szCs w:val="24"/>
        </w:rPr>
        <w:t xml:space="preserve">                                                              </w:t>
      </w:r>
      <w:r w:rsidRPr="00234552">
        <w:rPr>
          <w:rFonts w:ascii="Times New Roman" w:hAnsi="Times New Roman"/>
          <w:sz w:val="24"/>
          <w:szCs w:val="24"/>
        </w:rPr>
        <w:br w:type="textWrapping" w:clear="all"/>
      </w:r>
    </w:p>
    <w:p w:rsidR="00412F76" w:rsidRPr="007C489A" w:rsidRDefault="00253F6E" w:rsidP="007C489A">
      <w:pPr>
        <w:rPr>
          <w:rFonts w:ascii="Times New Roman" w:eastAsia="Times New Roman" w:hAnsi="Times New Roman"/>
          <w:b/>
          <w:sz w:val="28"/>
          <w:szCs w:val="28"/>
        </w:rPr>
      </w:pPr>
      <w:r w:rsidRPr="00234552">
        <w:rPr>
          <w:rFonts w:ascii="Times New Roman" w:hAnsi="Times New Roman"/>
          <w:b/>
          <w:sz w:val="28"/>
          <w:szCs w:val="28"/>
        </w:rPr>
        <w:t>Discussion</w:t>
      </w:r>
    </w:p>
    <w:p w:rsidR="00253F6E" w:rsidRPr="007C489A" w:rsidRDefault="00412F76" w:rsidP="007C489A">
      <w:pPr>
        <w:spacing w:line="480" w:lineRule="auto"/>
        <w:ind w:firstLine="720"/>
        <w:jc w:val="both"/>
        <w:rPr>
          <w:rFonts w:ascii="Times New Roman" w:eastAsia="Times New Roman" w:hAnsi="Times New Roman"/>
          <w:b/>
          <w:sz w:val="24"/>
          <w:szCs w:val="24"/>
        </w:rPr>
      </w:pPr>
      <w:r w:rsidRPr="00412F76">
        <w:rPr>
          <w:rFonts w:ascii="Times New Roman" w:hAnsi="Times New Roman"/>
          <w:sz w:val="24"/>
        </w:rPr>
        <w:lastRenderedPageBreak/>
        <w:t xml:space="preserve"> </w:t>
      </w:r>
      <w:r w:rsidRPr="007C489A">
        <w:rPr>
          <w:rFonts w:ascii="Times New Roman" w:hAnsi="Times New Roman"/>
          <w:sz w:val="24"/>
          <w:szCs w:val="24"/>
        </w:rPr>
        <w:t>Asia has abundant species of medicinal and aromatic plants and traditional medicines have practiced in Asia since ancient times. India has made use of medicinal plants to cure ailments of thousands of years</w:t>
      </w:r>
      <w:r w:rsidRPr="007C489A">
        <w:rPr>
          <w:rFonts w:ascii="Times New Roman" w:hAnsi="Times New Roman"/>
          <w:sz w:val="24"/>
          <w:szCs w:val="24"/>
        </w:rPr>
        <w:fldChar w:fldCharType="begin"/>
      </w:r>
      <w:r w:rsidRPr="007C489A">
        <w:rPr>
          <w:rFonts w:ascii="Times New Roman" w:hAnsi="Times New Roman"/>
          <w:sz w:val="24"/>
          <w:szCs w:val="24"/>
        </w:rPr>
        <w:instrText xml:space="preserve"> ADDIN EN.CITE &lt;EndNote&gt;&lt;Cite&gt;&lt;Author&gt;Tamizhazhagan&lt;/Author&gt;&lt;Year&gt;2017&lt;/Year&gt;&lt;RecNum&gt;1190&lt;/RecNum&gt;&lt;DisplayText&gt;[37]&lt;/DisplayText&gt;&lt;record&gt;&lt;rec-number&gt;1190&lt;/rec-number&gt;&lt;foreign-keys&gt;&lt;key app="EN" db-id="5t9a0wevofsa0aersrpp9efbdaztxs2a2ze2" timestamp="1532552907"&gt;1190&lt;/key&gt;&lt;/foreign-keys&gt;&lt;ref-type name="Journal Article"&gt;17&lt;/ref-type&gt;&lt;contributors&gt;&lt;authors&gt;&lt;author&gt;Tamizhazhagan, V&lt;/author&gt;&lt;author&gt;Pugazhendy, K&lt;/author&gt;&lt;author&gt;Sakthidasan, V&lt;/author&gt;&lt;author&gt;Jayanthi, C&lt;/author&gt;&lt;/authors&gt;&lt;/contributors&gt;&lt;titles&gt;&lt;title&gt;Antioxidant properties of Pisonia alba plant leaf extract&lt;/title&gt;&lt;secondary-title&gt;International Journal of Zoology and Applied Biosciences&lt;/secondary-title&gt;&lt;/titles&gt;&lt;periodical&gt;&lt;full-title&gt;International Journal of Zoology and Applied Biosciences&lt;/full-title&gt;&lt;/periodical&gt;&lt;pages&gt;311-314&lt;/pages&gt;&lt;volume&gt;2&lt;/volume&gt;&lt;number&gt;6&lt;/number&gt;&lt;dates&gt;&lt;year&gt;2017&lt;/year&gt;&lt;/dates&gt;&lt;urls&gt;&lt;/urls&gt;&lt;/record&gt;&lt;/Cite&gt;&lt;/EndNote&gt;</w:instrText>
      </w:r>
      <w:r w:rsidRPr="007C489A">
        <w:rPr>
          <w:rFonts w:ascii="Times New Roman" w:hAnsi="Times New Roman"/>
          <w:sz w:val="24"/>
          <w:szCs w:val="24"/>
        </w:rPr>
        <w:fldChar w:fldCharType="separate"/>
      </w:r>
      <w:r w:rsidRPr="007C489A">
        <w:rPr>
          <w:rFonts w:ascii="Times New Roman" w:hAnsi="Times New Roman"/>
          <w:noProof/>
          <w:sz w:val="24"/>
          <w:szCs w:val="24"/>
        </w:rPr>
        <w:t>[</w:t>
      </w:r>
      <w:hyperlink w:anchor="_ENREF_37" w:tooltip="Tamizhazhagan, 2017 #1190" w:history="1">
        <w:r w:rsidRPr="007C489A">
          <w:rPr>
            <w:rFonts w:ascii="Times New Roman" w:hAnsi="Times New Roman"/>
            <w:noProof/>
            <w:sz w:val="24"/>
            <w:szCs w:val="24"/>
          </w:rPr>
          <w:t>37</w:t>
        </w:r>
      </w:hyperlink>
      <w:r w:rsidRPr="007C489A">
        <w:rPr>
          <w:rFonts w:ascii="Times New Roman" w:hAnsi="Times New Roman"/>
          <w:noProof/>
          <w:sz w:val="24"/>
          <w:szCs w:val="24"/>
        </w:rPr>
        <w:t>]</w:t>
      </w:r>
      <w:r w:rsidRPr="007C489A">
        <w:rPr>
          <w:rFonts w:ascii="Times New Roman" w:hAnsi="Times New Roman"/>
          <w:sz w:val="24"/>
          <w:szCs w:val="24"/>
        </w:rPr>
        <w:fldChar w:fldCharType="end"/>
      </w:r>
      <w:r w:rsidRPr="007C489A">
        <w:rPr>
          <w:sz w:val="24"/>
          <w:szCs w:val="24"/>
        </w:rPr>
        <w:t xml:space="preserve"> </w:t>
      </w:r>
      <w:r w:rsidR="00253F6E" w:rsidRPr="007C489A">
        <w:rPr>
          <w:rFonts w:ascii="Times New Roman" w:hAnsi="Times New Roman"/>
          <w:sz w:val="24"/>
          <w:szCs w:val="24"/>
        </w:rPr>
        <w:t>The Fc receptor-like protein3 sequence was collected from the UNI-PROT</w:t>
      </w:r>
      <w:r w:rsidR="00234552" w:rsidRPr="007C489A">
        <w:rPr>
          <w:rFonts w:ascii="Times New Roman" w:hAnsi="Times New Roman"/>
          <w:sz w:val="24"/>
          <w:szCs w:val="24"/>
        </w:rPr>
        <w:t xml:space="preserve"> </w:t>
      </w:r>
      <w:r w:rsidR="00253F6E" w:rsidRPr="007C489A">
        <w:rPr>
          <w:rFonts w:ascii="Times New Roman" w:hAnsi="Times New Roman"/>
          <w:sz w:val="24"/>
          <w:szCs w:val="24"/>
        </w:rPr>
        <w:t xml:space="preserve"> Performed BLAST for sequence retrieval</w:t>
      </w:r>
      <w:r w:rsidR="00253F6E" w:rsidRPr="007C489A">
        <w:rPr>
          <w:rFonts w:ascii="Times New Roman" w:hAnsi="Times New Roman"/>
          <w:sz w:val="24"/>
          <w:szCs w:val="24"/>
          <w:u w:color="FA5050"/>
        </w:rPr>
        <w:t xml:space="preserve">. </w:t>
      </w:r>
      <w:r w:rsidR="00253F6E" w:rsidRPr="007C489A">
        <w:rPr>
          <w:rFonts w:ascii="Times New Roman" w:hAnsi="Times New Roman"/>
          <w:sz w:val="24"/>
          <w:szCs w:val="24"/>
        </w:rPr>
        <w:t xml:space="preserve">The multiple sequence alignment was performed by comparing </w:t>
      </w:r>
      <w:r w:rsidR="00253F6E" w:rsidRPr="007C489A">
        <w:rPr>
          <w:rFonts w:ascii="Times New Roman" w:hAnsi="Times New Roman"/>
          <w:sz w:val="24"/>
          <w:szCs w:val="24"/>
          <w:u w:color="FA5050"/>
        </w:rPr>
        <w:t>the Fc</w:t>
      </w:r>
      <w:r w:rsidR="00253F6E" w:rsidRPr="007C489A">
        <w:rPr>
          <w:rFonts w:ascii="Times New Roman" w:hAnsi="Times New Roman"/>
          <w:sz w:val="24"/>
          <w:szCs w:val="24"/>
        </w:rPr>
        <w:t xml:space="preserve"> receptor-like protein3 sequence of </w:t>
      </w:r>
      <w:r w:rsidR="00253F6E" w:rsidRPr="007C489A">
        <w:rPr>
          <w:rFonts w:ascii="Times New Roman" w:hAnsi="Times New Roman"/>
          <w:i/>
          <w:sz w:val="24"/>
          <w:szCs w:val="24"/>
        </w:rPr>
        <w:t xml:space="preserve">Homo Sapiens, Anas </w:t>
      </w:r>
      <w:r w:rsidR="00253F6E" w:rsidRPr="007C489A">
        <w:rPr>
          <w:rFonts w:ascii="Times New Roman" w:hAnsi="Times New Roman"/>
          <w:i/>
          <w:sz w:val="24"/>
          <w:szCs w:val="24"/>
          <w:u w:color="FA5050"/>
        </w:rPr>
        <w:t>platyrhynchos</w:t>
      </w:r>
      <w:r w:rsidR="00253F6E" w:rsidRPr="007C489A">
        <w:rPr>
          <w:rFonts w:ascii="Times New Roman" w:hAnsi="Times New Roman"/>
          <w:i/>
          <w:sz w:val="24"/>
          <w:szCs w:val="24"/>
        </w:rPr>
        <w:t xml:space="preserve"> Bos </w:t>
      </w:r>
      <w:r w:rsidR="00253F6E" w:rsidRPr="007C489A">
        <w:rPr>
          <w:rFonts w:ascii="Times New Roman" w:hAnsi="Times New Roman"/>
          <w:i/>
          <w:sz w:val="24"/>
          <w:szCs w:val="24"/>
          <w:u w:color="FA5050"/>
        </w:rPr>
        <w:t>mutters</w:t>
      </w:r>
      <w:r w:rsidR="00253F6E" w:rsidRPr="007C489A">
        <w:rPr>
          <w:rFonts w:ascii="Times New Roman" w:hAnsi="Times New Roman"/>
          <w:i/>
          <w:sz w:val="24"/>
          <w:szCs w:val="24"/>
        </w:rPr>
        <w:t xml:space="preserve">, </w:t>
      </w:r>
      <w:r w:rsidR="00A34730">
        <w:rPr>
          <w:rFonts w:ascii="Times New Roman" w:hAnsi="Times New Roman"/>
          <w:i/>
          <w:noProof/>
          <w:sz w:val="24"/>
          <w:szCs w:val="24"/>
        </w:rPr>
        <w:t>P</w:t>
      </w:r>
      <w:r w:rsidR="00253F6E" w:rsidRPr="00A34730">
        <w:rPr>
          <w:rFonts w:ascii="Times New Roman" w:hAnsi="Times New Roman"/>
          <w:i/>
          <w:noProof/>
          <w:sz w:val="24"/>
          <w:szCs w:val="24"/>
        </w:rPr>
        <w:t>teropus</w:t>
      </w:r>
      <w:r w:rsidR="00253F6E" w:rsidRPr="007C489A">
        <w:rPr>
          <w:rFonts w:ascii="Times New Roman" w:hAnsi="Times New Roman"/>
          <w:i/>
          <w:sz w:val="24"/>
          <w:szCs w:val="24"/>
        </w:rPr>
        <w:t xml:space="preserve"> </w:t>
      </w:r>
      <w:r w:rsidR="00253F6E" w:rsidRPr="00A34730">
        <w:rPr>
          <w:rFonts w:ascii="Times New Roman" w:hAnsi="Times New Roman"/>
          <w:i/>
          <w:noProof/>
          <w:sz w:val="24"/>
          <w:szCs w:val="24"/>
        </w:rPr>
        <w:t>alecto</w:t>
      </w:r>
      <w:r w:rsidR="00253F6E" w:rsidRPr="007C489A">
        <w:rPr>
          <w:rFonts w:ascii="Times New Roman" w:hAnsi="Times New Roman"/>
          <w:i/>
          <w:sz w:val="24"/>
          <w:szCs w:val="24"/>
        </w:rPr>
        <w:t xml:space="preserve"> and Neovisn </w:t>
      </w:r>
      <w:r w:rsidR="00253F6E" w:rsidRPr="007C489A">
        <w:rPr>
          <w:rFonts w:ascii="Times New Roman" w:hAnsi="Times New Roman"/>
          <w:i/>
          <w:sz w:val="24"/>
          <w:szCs w:val="24"/>
          <w:u w:color="FA5050"/>
        </w:rPr>
        <w:t>vision</w:t>
      </w:r>
      <w:r w:rsidR="00253F6E" w:rsidRPr="007C489A">
        <w:rPr>
          <w:rFonts w:ascii="Times New Roman" w:hAnsi="Times New Roman"/>
          <w:i/>
          <w:sz w:val="24"/>
          <w:szCs w:val="24"/>
        </w:rPr>
        <w:t xml:space="preserve"> </w:t>
      </w:r>
      <w:r w:rsidR="00253F6E" w:rsidRPr="007C489A">
        <w:rPr>
          <w:rFonts w:ascii="Times New Roman" w:hAnsi="Times New Roman"/>
          <w:sz w:val="24"/>
          <w:szCs w:val="24"/>
        </w:rPr>
        <w:t xml:space="preserve">by using </w:t>
      </w:r>
      <w:r w:rsidR="00253F6E" w:rsidRPr="00A34730">
        <w:rPr>
          <w:rFonts w:ascii="Times New Roman" w:hAnsi="Times New Roman"/>
          <w:noProof/>
          <w:sz w:val="24"/>
          <w:szCs w:val="24"/>
        </w:rPr>
        <w:t>CLUSTA</w:t>
      </w:r>
      <w:r w:rsidR="00253F6E" w:rsidRPr="007C489A">
        <w:rPr>
          <w:rFonts w:ascii="Times New Roman" w:hAnsi="Times New Roman"/>
          <w:sz w:val="24"/>
          <w:szCs w:val="24"/>
        </w:rPr>
        <w:t xml:space="preserve"> W2. Fc receptor-like protein3</w:t>
      </w:r>
      <w:r w:rsidR="00253F6E" w:rsidRPr="007C489A">
        <w:rPr>
          <w:rFonts w:ascii="Times New Roman" w:hAnsi="Times New Roman"/>
          <w:i/>
          <w:sz w:val="24"/>
          <w:szCs w:val="24"/>
        </w:rPr>
        <w:t xml:space="preserve"> Ceta</w:t>
      </w:r>
      <w:r w:rsidR="00253F6E" w:rsidRPr="007C489A">
        <w:rPr>
          <w:rFonts w:ascii="Times New Roman" w:hAnsi="Times New Roman"/>
          <w:sz w:val="24"/>
          <w:szCs w:val="24"/>
        </w:rPr>
        <w:t xml:space="preserve"> of </w:t>
      </w:r>
      <w:r w:rsidR="00253F6E" w:rsidRPr="007C489A">
        <w:rPr>
          <w:rFonts w:ascii="Times New Roman" w:hAnsi="Times New Roman"/>
          <w:i/>
          <w:sz w:val="24"/>
          <w:szCs w:val="24"/>
        </w:rPr>
        <w:t>Human</w:t>
      </w:r>
      <w:r w:rsidR="00253F6E" w:rsidRPr="007C489A">
        <w:rPr>
          <w:rFonts w:ascii="Times New Roman" w:hAnsi="Times New Roman"/>
          <w:sz w:val="24"/>
          <w:szCs w:val="24"/>
        </w:rPr>
        <w:t xml:space="preserve"> are closely related. </w:t>
      </w:r>
      <w:r w:rsidR="00253F6E" w:rsidRPr="00A34730">
        <w:rPr>
          <w:rFonts w:ascii="Times New Roman" w:hAnsi="Times New Roman"/>
          <w:noProof/>
          <w:sz w:val="24"/>
          <w:szCs w:val="24"/>
        </w:rPr>
        <w:t>Like wise</w:t>
      </w:r>
      <w:r w:rsidR="00253F6E" w:rsidRPr="007C489A">
        <w:rPr>
          <w:rFonts w:ascii="Times New Roman" w:hAnsi="Times New Roman"/>
          <w:sz w:val="24"/>
          <w:szCs w:val="24"/>
        </w:rPr>
        <w:t xml:space="preserve"> Fc receptor-like protein3 of </w:t>
      </w:r>
      <w:r w:rsidR="00253F6E" w:rsidRPr="00A34730">
        <w:rPr>
          <w:rFonts w:ascii="Times New Roman" w:hAnsi="Times New Roman"/>
          <w:i/>
          <w:noProof/>
          <w:sz w:val="24"/>
          <w:szCs w:val="24"/>
        </w:rPr>
        <w:t>Pteal</w:t>
      </w:r>
      <w:r w:rsidR="00253F6E" w:rsidRPr="007C489A">
        <w:rPr>
          <w:rFonts w:ascii="Times New Roman" w:hAnsi="Times New Roman"/>
          <w:i/>
          <w:sz w:val="24"/>
          <w:szCs w:val="24"/>
        </w:rPr>
        <w:t xml:space="preserve">, Anapl and Neovi </w:t>
      </w:r>
      <w:r w:rsidR="00253F6E" w:rsidRPr="007C489A">
        <w:rPr>
          <w:rFonts w:ascii="Times New Roman" w:hAnsi="Times New Roman"/>
          <w:sz w:val="24"/>
          <w:szCs w:val="24"/>
        </w:rPr>
        <w:t xml:space="preserve">closely related to each other. </w:t>
      </w:r>
      <w:r w:rsidR="00253F6E" w:rsidRPr="00A34730">
        <w:rPr>
          <w:rFonts w:ascii="Times New Roman" w:hAnsi="Times New Roman"/>
          <w:i/>
          <w:noProof/>
          <w:sz w:val="24"/>
          <w:szCs w:val="24"/>
        </w:rPr>
        <w:t>Pteal</w:t>
      </w:r>
      <w:r w:rsidR="00253F6E" w:rsidRPr="007C489A">
        <w:rPr>
          <w:rFonts w:ascii="Times New Roman" w:hAnsi="Times New Roman"/>
          <w:i/>
          <w:sz w:val="24"/>
          <w:szCs w:val="24"/>
        </w:rPr>
        <w:t xml:space="preserve">, </w:t>
      </w:r>
      <w:r w:rsidR="00253F6E" w:rsidRPr="007C489A">
        <w:rPr>
          <w:rFonts w:ascii="Times New Roman" w:hAnsi="Times New Roman"/>
          <w:sz w:val="24"/>
          <w:szCs w:val="24"/>
        </w:rPr>
        <w:t xml:space="preserve">is distantly related to human Fc receptor-like protein3. By </w:t>
      </w:r>
      <w:r w:rsidR="00253F6E" w:rsidRPr="007C489A">
        <w:rPr>
          <w:rFonts w:ascii="Times New Roman" w:hAnsi="Times New Roman"/>
          <w:sz w:val="24"/>
          <w:szCs w:val="24"/>
          <w:u w:color="FA5050"/>
        </w:rPr>
        <w:t>use</w:t>
      </w:r>
      <w:r w:rsidR="00253F6E" w:rsidRPr="007C489A">
        <w:rPr>
          <w:rFonts w:ascii="Times New Roman" w:hAnsi="Times New Roman"/>
          <w:sz w:val="24"/>
          <w:szCs w:val="24"/>
        </w:rPr>
        <w:t xml:space="preserve"> of CFSSP the secondary structure was determined. Fc receptor-like protein3 has 402% alpha helix and 34.8% </w:t>
      </w:r>
      <w:r w:rsidR="00253F6E" w:rsidRPr="007C489A">
        <w:rPr>
          <w:rFonts w:ascii="Times New Roman" w:hAnsi="Times New Roman"/>
          <w:sz w:val="24"/>
          <w:szCs w:val="24"/>
          <w:u w:color="FA5050"/>
        </w:rPr>
        <w:t>beta</w:t>
      </w:r>
      <w:r w:rsidR="00253F6E" w:rsidRPr="007C489A">
        <w:rPr>
          <w:rFonts w:ascii="Times New Roman" w:hAnsi="Times New Roman"/>
          <w:sz w:val="24"/>
          <w:szCs w:val="24"/>
        </w:rPr>
        <w:t xml:space="preserve"> turns. Performed PROTPRAM to determine the number and composition of amino acids. Fc receptor-like protein3 has 734 amino acids. Serine is present in </w:t>
      </w:r>
      <w:r w:rsidR="00253F6E" w:rsidRPr="007C489A">
        <w:rPr>
          <w:rFonts w:ascii="Times New Roman" w:hAnsi="Times New Roman"/>
          <w:sz w:val="24"/>
          <w:szCs w:val="24"/>
          <w:u w:color="FA5050"/>
        </w:rPr>
        <w:t>the highest</w:t>
      </w:r>
      <w:r w:rsidR="00253F6E" w:rsidRPr="007C489A">
        <w:rPr>
          <w:rFonts w:ascii="Times New Roman" w:hAnsi="Times New Roman"/>
          <w:sz w:val="24"/>
          <w:szCs w:val="24"/>
        </w:rPr>
        <w:t xml:space="preserve"> number</w:t>
      </w:r>
      <w:r w:rsidR="00253F6E" w:rsidRPr="007C489A">
        <w:rPr>
          <w:rFonts w:ascii="Times New Roman" w:hAnsi="Times New Roman"/>
          <w:sz w:val="24"/>
          <w:szCs w:val="24"/>
          <w:u w:color="FA5050"/>
        </w:rPr>
        <w:t xml:space="preserve">. </w:t>
      </w:r>
      <w:r w:rsidR="00253F6E" w:rsidRPr="007C489A">
        <w:rPr>
          <w:rFonts w:ascii="Times New Roman" w:hAnsi="Times New Roman"/>
          <w:sz w:val="24"/>
          <w:szCs w:val="24"/>
        </w:rPr>
        <w:t>The tertiary structure of Fc receptor-like protein3 was predicated by using CPH</w:t>
      </w:r>
      <w:r w:rsidR="00253F6E" w:rsidRPr="007C489A">
        <w:rPr>
          <w:rFonts w:ascii="Times New Roman" w:hAnsi="Times New Roman"/>
          <w:b/>
          <w:sz w:val="24"/>
          <w:szCs w:val="24"/>
        </w:rPr>
        <w:t xml:space="preserve"> </w:t>
      </w:r>
      <w:r w:rsidR="00253F6E" w:rsidRPr="007C489A">
        <w:rPr>
          <w:rFonts w:ascii="Times New Roman" w:hAnsi="Times New Roman"/>
          <w:sz w:val="24"/>
          <w:szCs w:val="24"/>
          <w:u w:color="FA5050"/>
        </w:rPr>
        <w:t>Models</w:t>
      </w:r>
      <w:r w:rsidR="00253F6E" w:rsidRPr="007C489A">
        <w:rPr>
          <w:rFonts w:ascii="Times New Roman" w:hAnsi="Times New Roman"/>
          <w:sz w:val="24"/>
          <w:szCs w:val="24"/>
        </w:rPr>
        <w:t xml:space="preserve"> 3.2 </w:t>
      </w:r>
      <w:r w:rsidR="00253F6E" w:rsidRPr="007C489A">
        <w:rPr>
          <w:rFonts w:ascii="Times New Roman" w:hAnsi="Times New Roman"/>
          <w:sz w:val="24"/>
          <w:szCs w:val="24"/>
          <w:u w:color="FA5050"/>
        </w:rPr>
        <w:t>servers</w:t>
      </w:r>
      <w:r w:rsidR="00253F6E" w:rsidRPr="007C489A">
        <w:rPr>
          <w:rFonts w:ascii="Times New Roman" w:hAnsi="Times New Roman"/>
          <w:sz w:val="24"/>
          <w:szCs w:val="24"/>
        </w:rPr>
        <w:t xml:space="preserve"> and visualized using RASMOL</w:t>
      </w:r>
      <w:r w:rsidR="00253F6E" w:rsidRPr="007C489A">
        <w:rPr>
          <w:rFonts w:ascii="Times New Roman" w:hAnsi="Times New Roman"/>
          <w:sz w:val="24"/>
          <w:szCs w:val="24"/>
          <w:u w:color="FA5050"/>
        </w:rPr>
        <w:t xml:space="preserve">. </w:t>
      </w:r>
      <w:r w:rsidR="00253F6E" w:rsidRPr="007C489A">
        <w:rPr>
          <w:rFonts w:ascii="Times New Roman" w:hAnsi="Times New Roman"/>
          <w:sz w:val="24"/>
          <w:szCs w:val="24"/>
        </w:rPr>
        <w:t>The Ramachandran plot was performed for Fc receptor-like protein3 by using RAMPAGE software. Docking of Fc receptor-like protein3 with selected 1 herbal antibiotic (</w:t>
      </w:r>
      <w:r w:rsidR="00234552" w:rsidRPr="007C489A">
        <w:rPr>
          <w:rFonts w:ascii="Times New Roman" w:hAnsi="Times New Roman"/>
          <w:sz w:val="24"/>
          <w:szCs w:val="24"/>
        </w:rPr>
        <w:t>Acetaminophen</w:t>
      </w:r>
      <w:r w:rsidR="00253F6E" w:rsidRPr="007C489A">
        <w:rPr>
          <w:rFonts w:ascii="Times New Roman" w:hAnsi="Times New Roman"/>
          <w:sz w:val="24"/>
          <w:szCs w:val="24"/>
        </w:rPr>
        <w:t>) and 1 allopathic antibiotic (</w:t>
      </w:r>
      <w:r w:rsidR="00234552" w:rsidRPr="007C489A">
        <w:rPr>
          <w:rFonts w:ascii="Times New Roman" w:hAnsi="Times New Roman"/>
          <w:sz w:val="24"/>
          <w:szCs w:val="24"/>
        </w:rPr>
        <w:t>Methimazole</w:t>
      </w:r>
      <w:r w:rsidR="00253F6E" w:rsidRPr="007C489A">
        <w:rPr>
          <w:rFonts w:ascii="Times New Roman" w:hAnsi="Times New Roman"/>
          <w:sz w:val="24"/>
          <w:szCs w:val="24"/>
        </w:rPr>
        <w:t xml:space="preserve">) were performed by the use of the tool Hex 6.3 Graves disease antibiotics </w:t>
      </w:r>
      <w:r w:rsidR="00234552" w:rsidRPr="007C489A">
        <w:rPr>
          <w:rFonts w:ascii="Times New Roman" w:hAnsi="Times New Roman"/>
          <w:sz w:val="24"/>
          <w:szCs w:val="24"/>
        </w:rPr>
        <w:t>Acetaminophen</w:t>
      </w:r>
      <w:r w:rsidR="00253F6E" w:rsidRPr="007C489A">
        <w:rPr>
          <w:rFonts w:ascii="Times New Roman" w:hAnsi="Times New Roman"/>
          <w:sz w:val="24"/>
          <w:szCs w:val="24"/>
        </w:rPr>
        <w:t xml:space="preserve"> &amp; </w:t>
      </w:r>
      <w:r w:rsidR="00234552" w:rsidRPr="007C489A">
        <w:rPr>
          <w:rFonts w:ascii="Times New Roman" w:hAnsi="Times New Roman"/>
          <w:sz w:val="24"/>
          <w:szCs w:val="24"/>
        </w:rPr>
        <w:t xml:space="preserve">Methimazole  </w:t>
      </w:r>
      <w:r w:rsidR="00253F6E" w:rsidRPr="007C489A">
        <w:rPr>
          <w:rFonts w:ascii="Times New Roman" w:hAnsi="Times New Roman"/>
          <w:sz w:val="24"/>
          <w:szCs w:val="24"/>
        </w:rPr>
        <w:t>have showed higher binding efficiency, ie-119.86 and ie-101.42 respectively with Fc receptor-like protein3 when compared with the h</w:t>
      </w:r>
      <w:r w:rsidR="007C489A">
        <w:rPr>
          <w:rFonts w:ascii="Times New Roman" w:hAnsi="Times New Roman"/>
          <w:sz w:val="24"/>
          <w:szCs w:val="24"/>
        </w:rPr>
        <w:t>erbal and allopathic antibiotic</w:t>
      </w:r>
      <w:r w:rsidR="00253F6E" w:rsidRPr="007C489A">
        <w:rPr>
          <w:rFonts w:ascii="Times New Roman" w:hAnsi="Times New Roman"/>
          <w:sz w:val="24"/>
          <w:szCs w:val="24"/>
        </w:rPr>
        <w:t>.</w:t>
      </w:r>
    </w:p>
    <w:p w:rsidR="00234552" w:rsidRDefault="00234552" w:rsidP="00F8213A">
      <w:pPr>
        <w:tabs>
          <w:tab w:val="center" w:pos="4680"/>
        </w:tabs>
        <w:jc w:val="both"/>
        <w:rPr>
          <w:rFonts w:ascii="Times New Roman" w:hAnsi="Times New Roman"/>
          <w:b/>
          <w:sz w:val="24"/>
          <w:szCs w:val="24"/>
        </w:rPr>
      </w:pPr>
    </w:p>
    <w:p w:rsidR="00F8213A" w:rsidRPr="00234552" w:rsidRDefault="00253F6E" w:rsidP="00234552">
      <w:pPr>
        <w:tabs>
          <w:tab w:val="center" w:pos="4680"/>
        </w:tabs>
        <w:jc w:val="both"/>
        <w:rPr>
          <w:rFonts w:ascii="Times New Roman" w:hAnsi="Times New Roman"/>
          <w:b/>
          <w:sz w:val="24"/>
          <w:szCs w:val="24"/>
        </w:rPr>
      </w:pPr>
      <w:r w:rsidRPr="00234552">
        <w:rPr>
          <w:rFonts w:ascii="Times New Roman" w:hAnsi="Times New Roman"/>
          <w:b/>
          <w:sz w:val="24"/>
          <w:szCs w:val="24"/>
        </w:rPr>
        <w:t>REFERENCE</w:t>
      </w:r>
    </w:p>
    <w:p w:rsidR="00412F76" w:rsidRPr="007C489A" w:rsidRDefault="00BF493D" w:rsidP="007C489A">
      <w:pPr>
        <w:pStyle w:val="EndNoteBibliography"/>
        <w:spacing w:after="0" w:line="360" w:lineRule="auto"/>
        <w:ind w:left="630" w:hanging="630"/>
        <w:jc w:val="both"/>
        <w:rPr>
          <w:rFonts w:ascii="Times New Roman" w:hAnsi="Times New Roman"/>
          <w:sz w:val="24"/>
        </w:rPr>
      </w:pPr>
      <w:r w:rsidRPr="007C489A">
        <w:rPr>
          <w:rFonts w:ascii="Times New Roman" w:hAnsi="Times New Roman"/>
          <w:sz w:val="24"/>
        </w:rPr>
        <w:fldChar w:fldCharType="begin"/>
      </w:r>
      <w:r w:rsidR="00F8213A" w:rsidRPr="007C489A">
        <w:rPr>
          <w:rFonts w:ascii="Times New Roman" w:hAnsi="Times New Roman"/>
          <w:sz w:val="24"/>
        </w:rPr>
        <w:instrText xml:space="preserve"> ADDIN EN.REFLIST </w:instrText>
      </w:r>
      <w:r w:rsidRPr="007C489A">
        <w:rPr>
          <w:rFonts w:ascii="Times New Roman" w:hAnsi="Times New Roman"/>
          <w:sz w:val="24"/>
        </w:rPr>
        <w:fldChar w:fldCharType="separate"/>
      </w:r>
      <w:bookmarkStart w:id="0" w:name="_ENREF_1"/>
      <w:r w:rsidR="00412F76" w:rsidRPr="007C489A">
        <w:rPr>
          <w:rFonts w:ascii="Times New Roman" w:hAnsi="Times New Roman"/>
          <w:sz w:val="24"/>
        </w:rPr>
        <w:t>1.</w:t>
      </w:r>
      <w:r w:rsidR="00412F76" w:rsidRPr="007C489A">
        <w:rPr>
          <w:rFonts w:ascii="Times New Roman" w:hAnsi="Times New Roman"/>
          <w:sz w:val="24"/>
        </w:rPr>
        <w:tab/>
        <w:t xml:space="preserve">Ljunggren, J., </w:t>
      </w:r>
      <w:r w:rsidR="00412F76" w:rsidRPr="007C489A">
        <w:rPr>
          <w:rFonts w:ascii="Times New Roman" w:hAnsi="Times New Roman"/>
          <w:i/>
          <w:sz w:val="24"/>
        </w:rPr>
        <w:t>Who was the man behind the syndrome: Ismail al-Jurjani, Testa, Flagani, Parry, Graves or Basedow? Use the term hyperthyreosis instead.</w:t>
      </w:r>
      <w:r w:rsidR="00412F76" w:rsidRPr="007C489A">
        <w:rPr>
          <w:rFonts w:ascii="Times New Roman" w:hAnsi="Times New Roman"/>
          <w:sz w:val="24"/>
        </w:rPr>
        <w:t xml:space="preserve"> Lakartidningen, 1983. </w:t>
      </w:r>
      <w:r w:rsidR="00412F76" w:rsidRPr="007C489A">
        <w:rPr>
          <w:rFonts w:ascii="Times New Roman" w:hAnsi="Times New Roman"/>
          <w:b/>
          <w:sz w:val="24"/>
        </w:rPr>
        <w:t>80</w:t>
      </w:r>
      <w:r w:rsidR="00412F76" w:rsidRPr="007C489A">
        <w:rPr>
          <w:rFonts w:ascii="Times New Roman" w:hAnsi="Times New Roman"/>
          <w:sz w:val="24"/>
        </w:rPr>
        <w:t>(32-33): p. 2902.</w:t>
      </w:r>
      <w:bookmarkEnd w:id="0"/>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 w:name="_ENREF_2"/>
      <w:r w:rsidRPr="007C489A">
        <w:rPr>
          <w:rFonts w:ascii="Times New Roman" w:hAnsi="Times New Roman"/>
          <w:sz w:val="24"/>
        </w:rPr>
        <w:t>2.</w:t>
      </w:r>
      <w:r w:rsidRPr="007C489A">
        <w:rPr>
          <w:rFonts w:ascii="Times New Roman" w:hAnsi="Times New Roman"/>
          <w:sz w:val="24"/>
        </w:rPr>
        <w:tab/>
        <w:t xml:space="preserve">Wishart, D.S., et al., </w:t>
      </w:r>
      <w:r w:rsidRPr="007C489A">
        <w:rPr>
          <w:rFonts w:ascii="Times New Roman" w:hAnsi="Times New Roman"/>
          <w:i/>
          <w:sz w:val="24"/>
        </w:rPr>
        <w:t>DrugBank: a knowledgebase for drugs, drug actions and drug targets.</w:t>
      </w:r>
      <w:r w:rsidRPr="007C489A">
        <w:rPr>
          <w:rFonts w:ascii="Times New Roman" w:hAnsi="Times New Roman"/>
          <w:sz w:val="24"/>
        </w:rPr>
        <w:t xml:space="preserve"> Nucleic acids research, 2007. </w:t>
      </w:r>
      <w:r w:rsidRPr="007C489A">
        <w:rPr>
          <w:rFonts w:ascii="Times New Roman" w:hAnsi="Times New Roman"/>
          <w:b/>
          <w:sz w:val="24"/>
        </w:rPr>
        <w:t>36</w:t>
      </w:r>
      <w:r w:rsidRPr="007C489A">
        <w:rPr>
          <w:rFonts w:ascii="Times New Roman" w:hAnsi="Times New Roman"/>
          <w:sz w:val="24"/>
        </w:rPr>
        <w:t>(suppl_1): p. D901-D906.</w:t>
      </w:r>
      <w:bookmarkEnd w:id="1"/>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 w:name="_ENREF_3"/>
      <w:r w:rsidRPr="007C489A">
        <w:rPr>
          <w:rFonts w:ascii="Times New Roman" w:hAnsi="Times New Roman"/>
          <w:sz w:val="24"/>
        </w:rPr>
        <w:lastRenderedPageBreak/>
        <w:t>3.</w:t>
      </w:r>
      <w:r w:rsidRPr="007C489A">
        <w:rPr>
          <w:rFonts w:ascii="Times New Roman" w:hAnsi="Times New Roman"/>
          <w:sz w:val="24"/>
        </w:rPr>
        <w:tab/>
        <w:t xml:space="preserve">Brix, T.H., et al., </w:t>
      </w:r>
      <w:r w:rsidRPr="007C489A">
        <w:rPr>
          <w:rFonts w:ascii="Times New Roman" w:hAnsi="Times New Roman"/>
          <w:i/>
          <w:sz w:val="24"/>
        </w:rPr>
        <w:t>Evidence for a major role of heredity in Graves’ disease: a population-based study of two Danish twin cohorts.</w:t>
      </w:r>
      <w:r w:rsidRPr="007C489A">
        <w:rPr>
          <w:rFonts w:ascii="Times New Roman" w:hAnsi="Times New Roman"/>
          <w:sz w:val="24"/>
        </w:rPr>
        <w:t xml:space="preserve"> The Journal of Clinical Endocrinology &amp; Metabolism, 2001. </w:t>
      </w:r>
      <w:r w:rsidRPr="007C489A">
        <w:rPr>
          <w:rFonts w:ascii="Times New Roman" w:hAnsi="Times New Roman"/>
          <w:b/>
          <w:sz w:val="24"/>
        </w:rPr>
        <w:t>86</w:t>
      </w:r>
      <w:r w:rsidRPr="007C489A">
        <w:rPr>
          <w:rFonts w:ascii="Times New Roman" w:hAnsi="Times New Roman"/>
          <w:sz w:val="24"/>
        </w:rPr>
        <w:t>(2): p. 930-934.</w:t>
      </w:r>
      <w:bookmarkEnd w:id="2"/>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 w:name="_ENREF_4"/>
      <w:r w:rsidRPr="007C489A">
        <w:rPr>
          <w:rFonts w:ascii="Times New Roman" w:hAnsi="Times New Roman"/>
          <w:sz w:val="24"/>
        </w:rPr>
        <w:t>4.</w:t>
      </w:r>
      <w:r w:rsidRPr="007C489A">
        <w:rPr>
          <w:rFonts w:ascii="Times New Roman" w:hAnsi="Times New Roman"/>
          <w:sz w:val="24"/>
        </w:rPr>
        <w:tab/>
        <w:t xml:space="preserve">Brent, G.A., </w:t>
      </w:r>
      <w:r w:rsidRPr="007C489A">
        <w:rPr>
          <w:rFonts w:ascii="Times New Roman" w:hAnsi="Times New Roman"/>
          <w:i/>
          <w:sz w:val="24"/>
        </w:rPr>
        <w:t>Graves' disease.</w:t>
      </w:r>
      <w:r w:rsidRPr="007C489A">
        <w:rPr>
          <w:rFonts w:ascii="Times New Roman" w:hAnsi="Times New Roman"/>
          <w:sz w:val="24"/>
        </w:rPr>
        <w:t xml:space="preserve"> New England Journal of Medicine, 2008. </w:t>
      </w:r>
      <w:r w:rsidRPr="007C489A">
        <w:rPr>
          <w:rFonts w:ascii="Times New Roman" w:hAnsi="Times New Roman"/>
          <w:b/>
          <w:sz w:val="24"/>
        </w:rPr>
        <w:t>358</w:t>
      </w:r>
      <w:r w:rsidRPr="007C489A">
        <w:rPr>
          <w:rFonts w:ascii="Times New Roman" w:hAnsi="Times New Roman"/>
          <w:sz w:val="24"/>
        </w:rPr>
        <w:t>(24): p. 2594-2605.</w:t>
      </w:r>
      <w:bookmarkEnd w:id="3"/>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4" w:name="_ENREF_5"/>
      <w:r w:rsidRPr="007C489A">
        <w:rPr>
          <w:rFonts w:ascii="Times New Roman" w:hAnsi="Times New Roman"/>
          <w:sz w:val="24"/>
        </w:rPr>
        <w:t>5.</w:t>
      </w:r>
      <w:r w:rsidRPr="007C489A">
        <w:rPr>
          <w:rFonts w:ascii="Times New Roman" w:hAnsi="Times New Roman"/>
          <w:sz w:val="24"/>
        </w:rPr>
        <w:tab/>
        <w:t xml:space="preserve">Agabegi, S.S. and E. Agabegi, </w:t>
      </w:r>
      <w:r w:rsidRPr="007C489A">
        <w:rPr>
          <w:rFonts w:ascii="Times New Roman" w:hAnsi="Times New Roman"/>
          <w:i/>
          <w:sz w:val="24"/>
        </w:rPr>
        <w:t>Step-Up to Medicine (Step-Up Series), Hagerstown, MD</w:t>
      </w:r>
      <w:r w:rsidRPr="007C489A">
        <w:rPr>
          <w:rFonts w:ascii="Times New Roman" w:hAnsi="Times New Roman"/>
          <w:sz w:val="24"/>
        </w:rPr>
        <w:t>. 2008, Lippincott, Williams &amp; Wilkins.</w:t>
      </w:r>
      <w:bookmarkEnd w:id="4"/>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5" w:name="_ENREF_6"/>
      <w:r w:rsidRPr="007C489A">
        <w:rPr>
          <w:rFonts w:ascii="Times New Roman" w:hAnsi="Times New Roman"/>
          <w:sz w:val="24"/>
        </w:rPr>
        <w:t>6.</w:t>
      </w:r>
      <w:r w:rsidRPr="007C489A">
        <w:rPr>
          <w:rFonts w:ascii="Times New Roman" w:hAnsi="Times New Roman"/>
          <w:sz w:val="24"/>
        </w:rPr>
        <w:tab/>
        <w:t xml:space="preserve">Bunevicius, R. and A.J. Prange, </w:t>
      </w:r>
      <w:r w:rsidRPr="007C489A">
        <w:rPr>
          <w:rFonts w:ascii="Times New Roman" w:hAnsi="Times New Roman"/>
          <w:i/>
          <w:sz w:val="24"/>
        </w:rPr>
        <w:t>Psychiatric manifestations of Graves’ hyperthyroidism.</w:t>
      </w:r>
      <w:r w:rsidRPr="007C489A">
        <w:rPr>
          <w:rFonts w:ascii="Times New Roman" w:hAnsi="Times New Roman"/>
          <w:sz w:val="24"/>
        </w:rPr>
        <w:t xml:space="preserve"> CNS drugs, 2006. </w:t>
      </w:r>
      <w:r w:rsidRPr="007C489A">
        <w:rPr>
          <w:rFonts w:ascii="Times New Roman" w:hAnsi="Times New Roman"/>
          <w:b/>
          <w:sz w:val="24"/>
        </w:rPr>
        <w:t>20</w:t>
      </w:r>
      <w:r w:rsidRPr="007C489A">
        <w:rPr>
          <w:rFonts w:ascii="Times New Roman" w:hAnsi="Times New Roman"/>
          <w:sz w:val="24"/>
        </w:rPr>
        <w:t>(11): p. 897-909.</w:t>
      </w:r>
      <w:bookmarkEnd w:id="5"/>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6" w:name="_ENREF_7"/>
      <w:r w:rsidRPr="007C489A">
        <w:rPr>
          <w:rFonts w:ascii="Times New Roman" w:hAnsi="Times New Roman"/>
          <w:sz w:val="24"/>
        </w:rPr>
        <w:t>7.</w:t>
      </w:r>
      <w:r w:rsidRPr="007C489A">
        <w:rPr>
          <w:rFonts w:ascii="Times New Roman" w:hAnsi="Times New Roman"/>
          <w:sz w:val="24"/>
        </w:rPr>
        <w:tab/>
        <w:t xml:space="preserve">Toivanen, P. and A. Toivanen, </w:t>
      </w:r>
      <w:r w:rsidRPr="007C489A">
        <w:rPr>
          <w:rFonts w:ascii="Times New Roman" w:hAnsi="Times New Roman"/>
          <w:i/>
          <w:sz w:val="24"/>
        </w:rPr>
        <w:t>Does Yersinia induce autoimmunity?</w:t>
      </w:r>
      <w:r w:rsidRPr="007C489A">
        <w:rPr>
          <w:rFonts w:ascii="Times New Roman" w:hAnsi="Times New Roman"/>
          <w:sz w:val="24"/>
        </w:rPr>
        <w:t xml:space="preserve"> International archives of allergy and immunology, 1994. </w:t>
      </w:r>
      <w:r w:rsidRPr="007C489A">
        <w:rPr>
          <w:rFonts w:ascii="Times New Roman" w:hAnsi="Times New Roman"/>
          <w:b/>
          <w:sz w:val="24"/>
        </w:rPr>
        <w:t>104</w:t>
      </w:r>
      <w:r w:rsidRPr="007C489A">
        <w:rPr>
          <w:rFonts w:ascii="Times New Roman" w:hAnsi="Times New Roman"/>
          <w:sz w:val="24"/>
        </w:rPr>
        <w:t>(2): p. 107-111.</w:t>
      </w:r>
      <w:bookmarkEnd w:id="6"/>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7" w:name="_ENREF_8"/>
      <w:r w:rsidRPr="007C489A">
        <w:rPr>
          <w:rFonts w:ascii="Times New Roman" w:hAnsi="Times New Roman"/>
          <w:sz w:val="24"/>
        </w:rPr>
        <w:t>8.</w:t>
      </w:r>
      <w:r w:rsidRPr="007C489A">
        <w:rPr>
          <w:rFonts w:ascii="Times New Roman" w:hAnsi="Times New Roman"/>
          <w:sz w:val="24"/>
        </w:rPr>
        <w:tab/>
        <w:t xml:space="preserve">Tamizhazhagan, V., et al., </w:t>
      </w:r>
      <w:r w:rsidRPr="007C489A">
        <w:rPr>
          <w:rFonts w:ascii="Times New Roman" w:hAnsi="Times New Roman"/>
          <w:i/>
          <w:sz w:val="24"/>
        </w:rPr>
        <w:t>Preliminary screening of phytochemical evaluation selected plant of Pisonia alba.</w:t>
      </w:r>
      <w:r w:rsidRPr="007C489A">
        <w:rPr>
          <w:rFonts w:ascii="Times New Roman" w:hAnsi="Times New Roman"/>
          <w:sz w:val="24"/>
        </w:rPr>
        <w:t xml:space="preserve"> IJ Biol. Research, 2017. </w:t>
      </w:r>
      <w:r w:rsidRPr="007C489A">
        <w:rPr>
          <w:rFonts w:ascii="Times New Roman" w:hAnsi="Times New Roman"/>
          <w:b/>
          <w:sz w:val="24"/>
        </w:rPr>
        <w:t>2</w:t>
      </w:r>
      <w:r w:rsidRPr="007C489A">
        <w:rPr>
          <w:rFonts w:ascii="Times New Roman" w:hAnsi="Times New Roman"/>
          <w:sz w:val="24"/>
        </w:rPr>
        <w:t>(4): p. 63-66.</w:t>
      </w:r>
      <w:bookmarkEnd w:id="7"/>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8" w:name="_ENREF_9"/>
      <w:r w:rsidRPr="007C489A">
        <w:rPr>
          <w:rFonts w:ascii="Times New Roman" w:hAnsi="Times New Roman"/>
          <w:sz w:val="24"/>
        </w:rPr>
        <w:t>9.</w:t>
      </w:r>
      <w:r w:rsidRPr="007C489A">
        <w:rPr>
          <w:rFonts w:ascii="Times New Roman" w:hAnsi="Times New Roman"/>
          <w:sz w:val="24"/>
        </w:rPr>
        <w:tab/>
        <w:t xml:space="preserve">Strieder, T.G., et al., </w:t>
      </w:r>
      <w:r w:rsidRPr="007C489A">
        <w:rPr>
          <w:rFonts w:ascii="Times New Roman" w:hAnsi="Times New Roman"/>
          <w:i/>
          <w:sz w:val="24"/>
        </w:rPr>
        <w:t>Increased prevalence of antibodies to enteropathogenic Yersinia enterocolitica virulence proteins in relatives of patients with autoimmune thyroid disease.</w:t>
      </w:r>
      <w:r w:rsidRPr="007C489A">
        <w:rPr>
          <w:rFonts w:ascii="Times New Roman" w:hAnsi="Times New Roman"/>
          <w:sz w:val="24"/>
        </w:rPr>
        <w:t xml:space="preserve"> Clinical &amp; Experimental Immunology, 2003. </w:t>
      </w:r>
      <w:r w:rsidRPr="007C489A">
        <w:rPr>
          <w:rFonts w:ascii="Times New Roman" w:hAnsi="Times New Roman"/>
          <w:b/>
          <w:sz w:val="24"/>
        </w:rPr>
        <w:t>132</w:t>
      </w:r>
      <w:r w:rsidRPr="007C489A">
        <w:rPr>
          <w:rFonts w:ascii="Times New Roman" w:hAnsi="Times New Roman"/>
          <w:sz w:val="24"/>
        </w:rPr>
        <w:t>(2): p. 278-282.</w:t>
      </w:r>
      <w:bookmarkEnd w:id="8"/>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9" w:name="_ENREF_10"/>
      <w:r w:rsidRPr="007C489A">
        <w:rPr>
          <w:rFonts w:ascii="Times New Roman" w:hAnsi="Times New Roman"/>
          <w:sz w:val="24"/>
        </w:rPr>
        <w:t>10.</w:t>
      </w:r>
      <w:r w:rsidRPr="007C489A">
        <w:rPr>
          <w:rFonts w:ascii="Times New Roman" w:hAnsi="Times New Roman"/>
          <w:sz w:val="24"/>
        </w:rPr>
        <w:tab/>
        <w:t xml:space="preserve">Santiago, T., et al., </w:t>
      </w:r>
      <w:r w:rsidRPr="007C489A">
        <w:rPr>
          <w:rFonts w:ascii="Times New Roman" w:hAnsi="Times New Roman"/>
          <w:i/>
          <w:sz w:val="24"/>
        </w:rPr>
        <w:t>FCRLA is a resident endoplasmic reticulum protein that associates with intracellular Igs, IgM, IgG and IgA.</w:t>
      </w:r>
      <w:r w:rsidRPr="007C489A">
        <w:rPr>
          <w:rFonts w:ascii="Times New Roman" w:hAnsi="Times New Roman"/>
          <w:sz w:val="24"/>
        </w:rPr>
        <w:t xml:space="preserve"> International immunology, 2010. </w:t>
      </w:r>
      <w:r w:rsidRPr="007C489A">
        <w:rPr>
          <w:rFonts w:ascii="Times New Roman" w:hAnsi="Times New Roman"/>
          <w:b/>
          <w:sz w:val="24"/>
        </w:rPr>
        <w:t>23</w:t>
      </w:r>
      <w:r w:rsidRPr="007C489A">
        <w:rPr>
          <w:rFonts w:ascii="Times New Roman" w:hAnsi="Times New Roman"/>
          <w:sz w:val="24"/>
        </w:rPr>
        <w:t>(1): p. 43-53.</w:t>
      </w:r>
      <w:bookmarkEnd w:id="9"/>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0" w:name="_ENREF_11"/>
      <w:r w:rsidRPr="007C489A">
        <w:rPr>
          <w:rFonts w:ascii="Times New Roman" w:hAnsi="Times New Roman"/>
          <w:sz w:val="24"/>
        </w:rPr>
        <w:t>11.</w:t>
      </w:r>
      <w:r w:rsidRPr="007C489A">
        <w:rPr>
          <w:rFonts w:ascii="Times New Roman" w:hAnsi="Times New Roman"/>
          <w:sz w:val="24"/>
        </w:rPr>
        <w:tab/>
        <w:t xml:space="preserve">Hansen, P.S., et al., </w:t>
      </w:r>
      <w:r w:rsidRPr="007C489A">
        <w:rPr>
          <w:rFonts w:ascii="Times New Roman" w:hAnsi="Times New Roman"/>
          <w:i/>
          <w:sz w:val="24"/>
        </w:rPr>
        <w:t>Yersinia enterocolitica infection does not confer an increased risk of thyroid antibodies: evidence from a Danish twin study.</w:t>
      </w:r>
      <w:r w:rsidRPr="007C489A">
        <w:rPr>
          <w:rFonts w:ascii="Times New Roman" w:hAnsi="Times New Roman"/>
          <w:sz w:val="24"/>
        </w:rPr>
        <w:t xml:space="preserve"> Clinical &amp; Experimental Immunology, 2006. </w:t>
      </w:r>
      <w:r w:rsidRPr="007C489A">
        <w:rPr>
          <w:rFonts w:ascii="Times New Roman" w:hAnsi="Times New Roman"/>
          <w:b/>
          <w:sz w:val="24"/>
        </w:rPr>
        <w:t>146</w:t>
      </w:r>
      <w:r w:rsidRPr="007C489A">
        <w:rPr>
          <w:rFonts w:ascii="Times New Roman" w:hAnsi="Times New Roman"/>
          <w:sz w:val="24"/>
        </w:rPr>
        <w:t>(1): p. 32-38.</w:t>
      </w:r>
      <w:bookmarkEnd w:id="10"/>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1" w:name="_ENREF_12"/>
      <w:r w:rsidRPr="007C489A">
        <w:rPr>
          <w:rFonts w:ascii="Times New Roman" w:hAnsi="Times New Roman"/>
          <w:sz w:val="24"/>
        </w:rPr>
        <w:t>12.</w:t>
      </w:r>
      <w:r w:rsidRPr="007C489A">
        <w:rPr>
          <w:rFonts w:ascii="Times New Roman" w:hAnsi="Times New Roman"/>
          <w:sz w:val="24"/>
        </w:rPr>
        <w:tab/>
        <w:t xml:space="preserve">Falgarone, G., et al., </w:t>
      </w:r>
      <w:r w:rsidRPr="007C489A">
        <w:rPr>
          <w:rFonts w:ascii="Times New Roman" w:hAnsi="Times New Roman"/>
          <w:i/>
          <w:sz w:val="24"/>
        </w:rPr>
        <w:t>Role of emotional stress in the pathophysiology of Graves' disease.</w:t>
      </w:r>
      <w:r w:rsidRPr="007C489A">
        <w:rPr>
          <w:rFonts w:ascii="Times New Roman" w:hAnsi="Times New Roman"/>
          <w:sz w:val="24"/>
        </w:rPr>
        <w:t xml:space="preserve"> European Journal of Endocrinology, 2012: p. EJE-12-0539.</w:t>
      </w:r>
      <w:bookmarkEnd w:id="11"/>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2" w:name="_ENREF_13"/>
      <w:r w:rsidRPr="007C489A">
        <w:rPr>
          <w:rFonts w:ascii="Times New Roman" w:hAnsi="Times New Roman"/>
          <w:sz w:val="24"/>
        </w:rPr>
        <w:t>13.</w:t>
      </w:r>
      <w:r w:rsidRPr="007C489A">
        <w:rPr>
          <w:rFonts w:ascii="Times New Roman" w:hAnsi="Times New Roman"/>
          <w:sz w:val="24"/>
        </w:rPr>
        <w:tab/>
        <w:t xml:space="preserve">Tomer, Y. and T.F. Davies, </w:t>
      </w:r>
      <w:r w:rsidRPr="007C489A">
        <w:rPr>
          <w:rFonts w:ascii="Times New Roman" w:hAnsi="Times New Roman"/>
          <w:i/>
          <w:sz w:val="24"/>
        </w:rPr>
        <w:t>Infection, thyroid disease, and autoimmunity.</w:t>
      </w:r>
      <w:r w:rsidRPr="007C489A">
        <w:rPr>
          <w:rFonts w:ascii="Times New Roman" w:hAnsi="Times New Roman"/>
          <w:sz w:val="24"/>
        </w:rPr>
        <w:t xml:space="preserve"> Endocrine Reviews, 1993. </w:t>
      </w:r>
      <w:r w:rsidRPr="007C489A">
        <w:rPr>
          <w:rFonts w:ascii="Times New Roman" w:hAnsi="Times New Roman"/>
          <w:b/>
          <w:sz w:val="24"/>
        </w:rPr>
        <w:t>14</w:t>
      </w:r>
      <w:r w:rsidRPr="007C489A">
        <w:rPr>
          <w:rFonts w:ascii="Times New Roman" w:hAnsi="Times New Roman"/>
          <w:sz w:val="24"/>
        </w:rPr>
        <w:t>(1): p. 107-120.</w:t>
      </w:r>
      <w:bookmarkEnd w:id="12"/>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3" w:name="_ENREF_14"/>
      <w:r w:rsidRPr="007C489A">
        <w:rPr>
          <w:rFonts w:ascii="Times New Roman" w:hAnsi="Times New Roman"/>
          <w:sz w:val="24"/>
        </w:rPr>
        <w:t>14.</w:t>
      </w:r>
      <w:r w:rsidRPr="007C489A">
        <w:rPr>
          <w:rFonts w:ascii="Times New Roman" w:hAnsi="Times New Roman"/>
          <w:sz w:val="24"/>
        </w:rPr>
        <w:tab/>
        <w:t xml:space="preserve">Michalaki, M.A., et al., </w:t>
      </w:r>
      <w:r w:rsidRPr="007C489A">
        <w:rPr>
          <w:rFonts w:ascii="Times New Roman" w:hAnsi="Times New Roman"/>
          <w:i/>
          <w:sz w:val="24"/>
        </w:rPr>
        <w:t>Thyroid function in humans with morbid obesity.</w:t>
      </w:r>
      <w:r w:rsidRPr="007C489A">
        <w:rPr>
          <w:rFonts w:ascii="Times New Roman" w:hAnsi="Times New Roman"/>
          <w:sz w:val="24"/>
        </w:rPr>
        <w:t xml:space="preserve"> Thyroid, 2006. </w:t>
      </w:r>
      <w:r w:rsidRPr="007C489A">
        <w:rPr>
          <w:rFonts w:ascii="Times New Roman" w:hAnsi="Times New Roman"/>
          <w:b/>
          <w:sz w:val="24"/>
        </w:rPr>
        <w:t>16</w:t>
      </w:r>
      <w:r w:rsidRPr="007C489A">
        <w:rPr>
          <w:rFonts w:ascii="Times New Roman" w:hAnsi="Times New Roman"/>
          <w:sz w:val="24"/>
        </w:rPr>
        <w:t>(1): p. 73-78.</w:t>
      </w:r>
      <w:bookmarkEnd w:id="13"/>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4" w:name="_ENREF_15"/>
      <w:r w:rsidRPr="007C489A">
        <w:rPr>
          <w:rFonts w:ascii="Times New Roman" w:hAnsi="Times New Roman"/>
          <w:sz w:val="24"/>
        </w:rPr>
        <w:t>15.</w:t>
      </w:r>
      <w:r w:rsidRPr="007C489A">
        <w:rPr>
          <w:rFonts w:ascii="Times New Roman" w:hAnsi="Times New Roman"/>
          <w:sz w:val="24"/>
        </w:rPr>
        <w:tab/>
        <w:t xml:space="preserve">Cawood, T., P. Moriarty, and D. O'shea, </w:t>
      </w:r>
      <w:r w:rsidRPr="007C489A">
        <w:rPr>
          <w:rFonts w:ascii="Times New Roman" w:hAnsi="Times New Roman"/>
          <w:i/>
          <w:sz w:val="24"/>
        </w:rPr>
        <w:t>Recent developments in thyroid eye disease.</w:t>
      </w:r>
      <w:r w:rsidRPr="007C489A">
        <w:rPr>
          <w:rFonts w:ascii="Times New Roman" w:hAnsi="Times New Roman"/>
          <w:sz w:val="24"/>
        </w:rPr>
        <w:t xml:space="preserve"> BMJ: British Medical Journal, 2004. </w:t>
      </w:r>
      <w:r w:rsidRPr="007C489A">
        <w:rPr>
          <w:rFonts w:ascii="Times New Roman" w:hAnsi="Times New Roman"/>
          <w:b/>
          <w:sz w:val="24"/>
        </w:rPr>
        <w:t>329</w:t>
      </w:r>
      <w:r w:rsidRPr="007C489A">
        <w:rPr>
          <w:rFonts w:ascii="Times New Roman" w:hAnsi="Times New Roman"/>
          <w:sz w:val="24"/>
        </w:rPr>
        <w:t>(7462): p. 385.</w:t>
      </w:r>
      <w:bookmarkEnd w:id="14"/>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5" w:name="_ENREF_16"/>
      <w:r w:rsidRPr="007C489A">
        <w:rPr>
          <w:rFonts w:ascii="Times New Roman" w:hAnsi="Times New Roman"/>
          <w:sz w:val="24"/>
        </w:rPr>
        <w:t>16.</w:t>
      </w:r>
      <w:r w:rsidRPr="007C489A">
        <w:rPr>
          <w:rFonts w:ascii="Times New Roman" w:hAnsi="Times New Roman"/>
          <w:sz w:val="24"/>
        </w:rPr>
        <w:tab/>
        <w:t xml:space="preserve">Homsanit, M., et al., </w:t>
      </w:r>
      <w:r w:rsidRPr="007C489A">
        <w:rPr>
          <w:rFonts w:ascii="Times New Roman" w:hAnsi="Times New Roman"/>
          <w:i/>
          <w:sz w:val="24"/>
        </w:rPr>
        <w:t>Efficacy of single daily dosage of methimazole vs. propylthiouracil in the induction of euthyroidism.</w:t>
      </w:r>
      <w:r w:rsidRPr="007C489A">
        <w:rPr>
          <w:rFonts w:ascii="Times New Roman" w:hAnsi="Times New Roman"/>
          <w:sz w:val="24"/>
        </w:rPr>
        <w:t xml:space="preserve"> Clinical endocrinology, 2001. </w:t>
      </w:r>
      <w:r w:rsidRPr="007C489A">
        <w:rPr>
          <w:rFonts w:ascii="Times New Roman" w:hAnsi="Times New Roman"/>
          <w:b/>
          <w:sz w:val="24"/>
        </w:rPr>
        <w:t>54</w:t>
      </w:r>
      <w:r w:rsidRPr="007C489A">
        <w:rPr>
          <w:rFonts w:ascii="Times New Roman" w:hAnsi="Times New Roman"/>
          <w:sz w:val="24"/>
        </w:rPr>
        <w:t>(3): p. 385-390.</w:t>
      </w:r>
      <w:bookmarkEnd w:id="15"/>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6" w:name="_ENREF_17"/>
      <w:r w:rsidRPr="007C489A">
        <w:rPr>
          <w:rFonts w:ascii="Times New Roman" w:hAnsi="Times New Roman"/>
          <w:sz w:val="24"/>
        </w:rPr>
        <w:lastRenderedPageBreak/>
        <w:t>17.</w:t>
      </w:r>
      <w:r w:rsidRPr="007C489A">
        <w:rPr>
          <w:rFonts w:ascii="Times New Roman" w:hAnsi="Times New Roman"/>
          <w:sz w:val="24"/>
        </w:rPr>
        <w:tab/>
        <w:t xml:space="preserve">Nguyen, H. and D. Lavenier, </w:t>
      </w:r>
      <w:r w:rsidRPr="007C489A">
        <w:rPr>
          <w:rFonts w:ascii="Times New Roman" w:hAnsi="Times New Roman"/>
          <w:i/>
          <w:sz w:val="24"/>
        </w:rPr>
        <w:t>PLAST: parallel local alignment search tool for database comparison.</w:t>
      </w:r>
      <w:r w:rsidRPr="007C489A">
        <w:rPr>
          <w:rFonts w:ascii="Times New Roman" w:hAnsi="Times New Roman"/>
          <w:sz w:val="24"/>
        </w:rPr>
        <w:t xml:space="preserve"> BMC bioinformatics, 2009. </w:t>
      </w:r>
      <w:r w:rsidRPr="007C489A">
        <w:rPr>
          <w:rFonts w:ascii="Times New Roman" w:hAnsi="Times New Roman"/>
          <w:b/>
          <w:sz w:val="24"/>
        </w:rPr>
        <w:t>10</w:t>
      </w:r>
      <w:r w:rsidRPr="007C489A">
        <w:rPr>
          <w:rFonts w:ascii="Times New Roman" w:hAnsi="Times New Roman"/>
          <w:sz w:val="24"/>
        </w:rPr>
        <w:t>(1): p. 329.</w:t>
      </w:r>
      <w:bookmarkEnd w:id="16"/>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7" w:name="_ENREF_18"/>
      <w:r w:rsidRPr="007C489A">
        <w:rPr>
          <w:rFonts w:ascii="Times New Roman" w:hAnsi="Times New Roman"/>
          <w:sz w:val="24"/>
        </w:rPr>
        <w:t>18.</w:t>
      </w:r>
      <w:r w:rsidRPr="007C489A">
        <w:rPr>
          <w:rFonts w:ascii="Times New Roman" w:hAnsi="Times New Roman"/>
          <w:sz w:val="24"/>
        </w:rPr>
        <w:tab/>
        <w:t xml:space="preserve">Hull, G., </w:t>
      </w:r>
      <w:r w:rsidRPr="007C489A">
        <w:rPr>
          <w:rFonts w:ascii="Times New Roman" w:hAnsi="Times New Roman"/>
          <w:i/>
          <w:sz w:val="24"/>
        </w:rPr>
        <w:t>Caleb Hillier Parry 1755–1822: a notable provincial physician.</w:t>
      </w:r>
      <w:r w:rsidRPr="007C489A">
        <w:rPr>
          <w:rFonts w:ascii="Times New Roman" w:hAnsi="Times New Roman"/>
          <w:sz w:val="24"/>
        </w:rPr>
        <w:t xml:space="preserve"> Journal of the royal Society of Medicine, 1998. </w:t>
      </w:r>
      <w:r w:rsidRPr="007C489A">
        <w:rPr>
          <w:rFonts w:ascii="Times New Roman" w:hAnsi="Times New Roman"/>
          <w:b/>
          <w:sz w:val="24"/>
        </w:rPr>
        <w:t>91</w:t>
      </w:r>
      <w:r w:rsidRPr="007C489A">
        <w:rPr>
          <w:rFonts w:ascii="Times New Roman" w:hAnsi="Times New Roman"/>
          <w:sz w:val="24"/>
        </w:rPr>
        <w:t>(6): p. 335-338.</w:t>
      </w:r>
      <w:bookmarkEnd w:id="17"/>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8" w:name="_ENREF_19"/>
      <w:r w:rsidRPr="007C489A">
        <w:rPr>
          <w:rFonts w:ascii="Times New Roman" w:hAnsi="Times New Roman"/>
          <w:sz w:val="24"/>
        </w:rPr>
        <w:t>19.</w:t>
      </w:r>
      <w:r w:rsidRPr="007C489A">
        <w:rPr>
          <w:rFonts w:ascii="Times New Roman" w:hAnsi="Times New Roman"/>
          <w:sz w:val="24"/>
        </w:rPr>
        <w:tab/>
        <w:t xml:space="preserve">Tamizhazhagan, V. and K. Pugazhendy, </w:t>
      </w:r>
      <w:r w:rsidRPr="007C489A">
        <w:rPr>
          <w:rFonts w:ascii="Times New Roman" w:hAnsi="Times New Roman"/>
          <w:i/>
          <w:sz w:val="24"/>
        </w:rPr>
        <w:t>Ethnobotanical and Phytopharmacological review of Pisonia alba Span.</w:t>
      </w:r>
      <w:r w:rsidRPr="007C489A">
        <w:rPr>
          <w:rFonts w:ascii="Times New Roman" w:hAnsi="Times New Roman"/>
          <w:sz w:val="24"/>
        </w:rPr>
        <w:t xml:space="preserve"> Asian J Pharm Clin Res, 2017. </w:t>
      </w:r>
      <w:r w:rsidRPr="007C489A">
        <w:rPr>
          <w:rFonts w:ascii="Times New Roman" w:hAnsi="Times New Roman"/>
          <w:b/>
          <w:sz w:val="24"/>
        </w:rPr>
        <w:t>10</w:t>
      </w:r>
      <w:r w:rsidRPr="007C489A">
        <w:rPr>
          <w:rFonts w:ascii="Times New Roman" w:hAnsi="Times New Roman"/>
          <w:sz w:val="24"/>
        </w:rPr>
        <w:t>(5): p. 69-71.</w:t>
      </w:r>
      <w:bookmarkEnd w:id="18"/>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19" w:name="_ENREF_20"/>
      <w:r w:rsidRPr="007C489A">
        <w:rPr>
          <w:rFonts w:ascii="Times New Roman" w:hAnsi="Times New Roman"/>
          <w:sz w:val="24"/>
        </w:rPr>
        <w:t>20.</w:t>
      </w:r>
      <w:r w:rsidRPr="007C489A">
        <w:rPr>
          <w:rFonts w:ascii="Times New Roman" w:hAnsi="Times New Roman"/>
          <w:sz w:val="24"/>
        </w:rPr>
        <w:tab/>
        <w:t xml:space="preserve">Davis, R.S., et al., </w:t>
      </w:r>
      <w:r w:rsidRPr="007C489A">
        <w:rPr>
          <w:rFonts w:ascii="Times New Roman" w:hAnsi="Times New Roman"/>
          <w:i/>
          <w:sz w:val="24"/>
        </w:rPr>
        <w:t>Identification of a family of Fc receptor homologs with preferential B cell expression.</w:t>
      </w:r>
      <w:r w:rsidRPr="007C489A">
        <w:rPr>
          <w:rFonts w:ascii="Times New Roman" w:hAnsi="Times New Roman"/>
          <w:sz w:val="24"/>
        </w:rPr>
        <w:t xml:space="preserve"> Proceedings of the National Academy of Sciences, 2001. </w:t>
      </w:r>
      <w:r w:rsidRPr="007C489A">
        <w:rPr>
          <w:rFonts w:ascii="Times New Roman" w:hAnsi="Times New Roman"/>
          <w:b/>
          <w:sz w:val="24"/>
        </w:rPr>
        <w:t>98</w:t>
      </w:r>
      <w:r w:rsidRPr="007C489A">
        <w:rPr>
          <w:rFonts w:ascii="Times New Roman" w:hAnsi="Times New Roman"/>
          <w:sz w:val="24"/>
        </w:rPr>
        <w:t>(17): p. 9772-9777.</w:t>
      </w:r>
      <w:bookmarkEnd w:id="19"/>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0" w:name="_ENREF_21"/>
      <w:r w:rsidRPr="007C489A">
        <w:rPr>
          <w:rFonts w:ascii="Times New Roman" w:hAnsi="Times New Roman"/>
          <w:sz w:val="24"/>
        </w:rPr>
        <w:t>21.</w:t>
      </w:r>
      <w:r w:rsidRPr="007C489A">
        <w:rPr>
          <w:rFonts w:ascii="Times New Roman" w:hAnsi="Times New Roman"/>
          <w:sz w:val="24"/>
        </w:rPr>
        <w:tab/>
        <w:t xml:space="preserve">Davis, R., et al., </w:t>
      </w:r>
      <w:r w:rsidRPr="007C489A">
        <w:rPr>
          <w:rFonts w:ascii="Times New Roman" w:hAnsi="Times New Roman"/>
          <w:i/>
          <w:sz w:val="24"/>
        </w:rPr>
        <w:t>Fc receptor homologs (FcRH1-5) extend the Fc receptor family</w:t>
      </w:r>
      <w:r w:rsidRPr="007C489A">
        <w:rPr>
          <w:rFonts w:ascii="Times New Roman" w:hAnsi="Times New Roman"/>
          <w:sz w:val="24"/>
        </w:rPr>
        <w:t xml:space="preserve">, in </w:t>
      </w:r>
      <w:r w:rsidRPr="007C489A">
        <w:rPr>
          <w:rFonts w:ascii="Times New Roman" w:hAnsi="Times New Roman"/>
          <w:i/>
          <w:sz w:val="24"/>
        </w:rPr>
        <w:t>The Interface Between Innate and Acquired Immunity</w:t>
      </w:r>
      <w:r w:rsidRPr="007C489A">
        <w:rPr>
          <w:rFonts w:ascii="Times New Roman" w:hAnsi="Times New Roman"/>
          <w:sz w:val="24"/>
        </w:rPr>
        <w:t>. 2002, Springer. p. 85-112.</w:t>
      </w:r>
      <w:bookmarkEnd w:id="20"/>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1" w:name="_ENREF_22"/>
      <w:r w:rsidRPr="007C489A">
        <w:rPr>
          <w:rFonts w:ascii="Times New Roman" w:hAnsi="Times New Roman"/>
          <w:sz w:val="24"/>
        </w:rPr>
        <w:t>22.</w:t>
      </w:r>
      <w:r w:rsidRPr="007C489A">
        <w:rPr>
          <w:rFonts w:ascii="Times New Roman" w:hAnsi="Times New Roman"/>
          <w:sz w:val="24"/>
        </w:rPr>
        <w:tab/>
        <w:t xml:space="preserve">Sayle, R.A. and E.J. Milner-White, </w:t>
      </w:r>
      <w:r w:rsidRPr="007C489A">
        <w:rPr>
          <w:rFonts w:ascii="Times New Roman" w:hAnsi="Times New Roman"/>
          <w:i/>
          <w:sz w:val="24"/>
        </w:rPr>
        <w:t>RASMOL: biomolecular graphics for all.</w:t>
      </w:r>
      <w:r w:rsidRPr="007C489A">
        <w:rPr>
          <w:rFonts w:ascii="Times New Roman" w:hAnsi="Times New Roman"/>
          <w:sz w:val="24"/>
        </w:rPr>
        <w:t xml:space="preserve"> Trends in biochemical sciences, 1995. </w:t>
      </w:r>
      <w:r w:rsidRPr="007C489A">
        <w:rPr>
          <w:rFonts w:ascii="Times New Roman" w:hAnsi="Times New Roman"/>
          <w:b/>
          <w:sz w:val="24"/>
        </w:rPr>
        <w:t>20</w:t>
      </w:r>
      <w:r w:rsidRPr="007C489A">
        <w:rPr>
          <w:rFonts w:ascii="Times New Roman" w:hAnsi="Times New Roman"/>
          <w:sz w:val="24"/>
        </w:rPr>
        <w:t>(9): p. 374-376.</w:t>
      </w:r>
      <w:bookmarkEnd w:id="21"/>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2" w:name="_ENREF_23"/>
      <w:r w:rsidRPr="007C489A">
        <w:rPr>
          <w:rFonts w:ascii="Times New Roman" w:hAnsi="Times New Roman"/>
          <w:sz w:val="24"/>
        </w:rPr>
        <w:t>23.</w:t>
      </w:r>
      <w:r w:rsidRPr="007C489A">
        <w:rPr>
          <w:rFonts w:ascii="Times New Roman" w:hAnsi="Times New Roman"/>
          <w:sz w:val="24"/>
        </w:rPr>
        <w:tab/>
        <w:t xml:space="preserve">Van Dijke, C.P., R.J. Heydendael, and M.J. De Kleine, </w:t>
      </w:r>
      <w:r w:rsidRPr="007C489A">
        <w:rPr>
          <w:rFonts w:ascii="Times New Roman" w:hAnsi="Times New Roman"/>
          <w:i/>
          <w:sz w:val="24"/>
        </w:rPr>
        <w:t>Methimazole, carbimazole, and congenital skin defects.</w:t>
      </w:r>
      <w:r w:rsidRPr="007C489A">
        <w:rPr>
          <w:rFonts w:ascii="Times New Roman" w:hAnsi="Times New Roman"/>
          <w:sz w:val="24"/>
        </w:rPr>
        <w:t xml:space="preserve"> Annals of internal medicine, 1987. </w:t>
      </w:r>
      <w:r w:rsidRPr="007C489A">
        <w:rPr>
          <w:rFonts w:ascii="Times New Roman" w:hAnsi="Times New Roman"/>
          <w:b/>
          <w:sz w:val="24"/>
        </w:rPr>
        <w:t>106</w:t>
      </w:r>
      <w:r w:rsidRPr="007C489A">
        <w:rPr>
          <w:rFonts w:ascii="Times New Roman" w:hAnsi="Times New Roman"/>
          <w:sz w:val="24"/>
        </w:rPr>
        <w:t>(1): p. 60-61.</w:t>
      </w:r>
      <w:bookmarkEnd w:id="22"/>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3" w:name="_ENREF_24"/>
      <w:r w:rsidRPr="007C489A">
        <w:rPr>
          <w:rFonts w:ascii="Times New Roman" w:hAnsi="Times New Roman"/>
          <w:sz w:val="24"/>
        </w:rPr>
        <w:t>24.</w:t>
      </w:r>
      <w:r w:rsidRPr="007C489A">
        <w:rPr>
          <w:rFonts w:ascii="Times New Roman" w:hAnsi="Times New Roman"/>
          <w:sz w:val="24"/>
        </w:rPr>
        <w:tab/>
        <w:t xml:space="preserve">Milham Jr, S., </w:t>
      </w:r>
      <w:r w:rsidRPr="007C489A">
        <w:rPr>
          <w:rFonts w:ascii="Times New Roman" w:hAnsi="Times New Roman"/>
          <w:i/>
          <w:sz w:val="24"/>
        </w:rPr>
        <w:t>Scalp defects in infants of mothers treated for hyperthyroidism with methimazole or carbimazole during pregnancy.</w:t>
      </w:r>
      <w:r w:rsidRPr="007C489A">
        <w:rPr>
          <w:rFonts w:ascii="Times New Roman" w:hAnsi="Times New Roman"/>
          <w:sz w:val="24"/>
        </w:rPr>
        <w:t xml:space="preserve"> Teratology, 1985. </w:t>
      </w:r>
      <w:r w:rsidRPr="007C489A">
        <w:rPr>
          <w:rFonts w:ascii="Times New Roman" w:hAnsi="Times New Roman"/>
          <w:b/>
          <w:sz w:val="24"/>
        </w:rPr>
        <w:t>32</w:t>
      </w:r>
      <w:r w:rsidRPr="007C489A">
        <w:rPr>
          <w:rFonts w:ascii="Times New Roman" w:hAnsi="Times New Roman"/>
          <w:sz w:val="24"/>
        </w:rPr>
        <w:t>(2): p. 321-321.</w:t>
      </w:r>
      <w:bookmarkEnd w:id="23"/>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4" w:name="_ENREF_25"/>
      <w:r w:rsidRPr="007C489A">
        <w:rPr>
          <w:rFonts w:ascii="Times New Roman" w:hAnsi="Times New Roman"/>
          <w:sz w:val="24"/>
        </w:rPr>
        <w:t>25.</w:t>
      </w:r>
      <w:r w:rsidRPr="007C489A">
        <w:rPr>
          <w:rFonts w:ascii="Times New Roman" w:hAnsi="Times New Roman"/>
          <w:sz w:val="24"/>
        </w:rPr>
        <w:tab/>
        <w:t xml:space="preserve">Dayhoff, M.O., </w:t>
      </w:r>
      <w:r w:rsidRPr="007C489A">
        <w:rPr>
          <w:rFonts w:ascii="Times New Roman" w:hAnsi="Times New Roman"/>
          <w:i/>
          <w:sz w:val="24"/>
        </w:rPr>
        <w:t>Atlas of protein sequence and structure.</w:t>
      </w:r>
      <w:r w:rsidRPr="007C489A">
        <w:rPr>
          <w:rFonts w:ascii="Times New Roman" w:hAnsi="Times New Roman"/>
          <w:sz w:val="24"/>
        </w:rPr>
        <w:t xml:space="preserve"> 1965.</w:t>
      </w:r>
      <w:bookmarkEnd w:id="24"/>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5" w:name="_ENREF_26"/>
      <w:r w:rsidRPr="007C489A">
        <w:rPr>
          <w:rFonts w:ascii="Times New Roman" w:hAnsi="Times New Roman"/>
          <w:sz w:val="24"/>
        </w:rPr>
        <w:t>26.</w:t>
      </w:r>
      <w:r w:rsidRPr="007C489A">
        <w:rPr>
          <w:rFonts w:ascii="Times New Roman" w:hAnsi="Times New Roman"/>
          <w:sz w:val="24"/>
        </w:rPr>
        <w:tab/>
        <w:t xml:space="preserve">Baranov, K., et al., </w:t>
      </w:r>
      <w:r w:rsidRPr="007C489A">
        <w:rPr>
          <w:rFonts w:ascii="Times New Roman" w:hAnsi="Times New Roman"/>
          <w:i/>
          <w:sz w:val="24"/>
        </w:rPr>
        <w:t>A direct antigen-binding assay for detection of antibodies against native epitopes using alkaline phosphatase-tagged proteins.</w:t>
      </w:r>
      <w:r w:rsidRPr="007C489A">
        <w:rPr>
          <w:rFonts w:ascii="Times New Roman" w:hAnsi="Times New Roman"/>
          <w:sz w:val="24"/>
        </w:rPr>
        <w:t xml:space="preserve"> Journal of immunological methods, 2008. </w:t>
      </w:r>
      <w:r w:rsidRPr="007C489A">
        <w:rPr>
          <w:rFonts w:ascii="Times New Roman" w:hAnsi="Times New Roman"/>
          <w:b/>
          <w:sz w:val="24"/>
        </w:rPr>
        <w:t>332</w:t>
      </w:r>
      <w:r w:rsidRPr="007C489A">
        <w:rPr>
          <w:rFonts w:ascii="Times New Roman" w:hAnsi="Times New Roman"/>
          <w:sz w:val="24"/>
        </w:rPr>
        <w:t>(1-2): p. 73-81.</w:t>
      </w:r>
      <w:bookmarkEnd w:id="25"/>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6" w:name="_ENREF_27"/>
      <w:r w:rsidRPr="007C489A">
        <w:rPr>
          <w:rFonts w:ascii="Times New Roman" w:hAnsi="Times New Roman"/>
          <w:sz w:val="24"/>
        </w:rPr>
        <w:t>27.</w:t>
      </w:r>
      <w:r w:rsidRPr="007C489A">
        <w:rPr>
          <w:rFonts w:ascii="Times New Roman" w:hAnsi="Times New Roman"/>
          <w:sz w:val="24"/>
        </w:rPr>
        <w:tab/>
        <w:t xml:space="preserve">Pearson, W.R. and D.J. Lipman, </w:t>
      </w:r>
      <w:r w:rsidRPr="007C489A">
        <w:rPr>
          <w:rFonts w:ascii="Times New Roman" w:hAnsi="Times New Roman"/>
          <w:i/>
          <w:sz w:val="24"/>
        </w:rPr>
        <w:t>Improved tools for biological sequence comparison.</w:t>
      </w:r>
      <w:r w:rsidRPr="007C489A">
        <w:rPr>
          <w:rFonts w:ascii="Times New Roman" w:hAnsi="Times New Roman"/>
          <w:sz w:val="24"/>
        </w:rPr>
        <w:t xml:space="preserve"> Proceedings of the National Academy of Sciences, 1988. </w:t>
      </w:r>
      <w:r w:rsidRPr="007C489A">
        <w:rPr>
          <w:rFonts w:ascii="Times New Roman" w:hAnsi="Times New Roman"/>
          <w:b/>
          <w:sz w:val="24"/>
        </w:rPr>
        <w:t>85</w:t>
      </w:r>
      <w:r w:rsidRPr="007C489A">
        <w:rPr>
          <w:rFonts w:ascii="Times New Roman" w:hAnsi="Times New Roman"/>
          <w:sz w:val="24"/>
        </w:rPr>
        <w:t>(8): p. 2444-2448.</w:t>
      </w:r>
      <w:bookmarkEnd w:id="26"/>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7" w:name="_ENREF_28"/>
      <w:r w:rsidRPr="007C489A">
        <w:rPr>
          <w:rFonts w:ascii="Times New Roman" w:hAnsi="Times New Roman"/>
          <w:sz w:val="24"/>
        </w:rPr>
        <w:t>28.</w:t>
      </w:r>
      <w:r w:rsidRPr="007C489A">
        <w:rPr>
          <w:rFonts w:ascii="Times New Roman" w:hAnsi="Times New Roman"/>
          <w:sz w:val="24"/>
        </w:rPr>
        <w:tab/>
        <w:t xml:space="preserve">Banach, M., et al., </w:t>
      </w:r>
      <w:r w:rsidRPr="007C489A">
        <w:rPr>
          <w:rFonts w:ascii="Times New Roman" w:hAnsi="Times New Roman"/>
          <w:i/>
          <w:sz w:val="24"/>
        </w:rPr>
        <w:t>Lipids, blood pressure and kidney update 2014.</w:t>
      </w:r>
      <w:r w:rsidRPr="007C489A">
        <w:rPr>
          <w:rFonts w:ascii="Times New Roman" w:hAnsi="Times New Roman"/>
          <w:sz w:val="24"/>
        </w:rPr>
        <w:t xml:space="preserve"> Pharmacological research, 2015. </w:t>
      </w:r>
      <w:r w:rsidRPr="007C489A">
        <w:rPr>
          <w:rFonts w:ascii="Times New Roman" w:hAnsi="Times New Roman"/>
          <w:b/>
          <w:sz w:val="24"/>
        </w:rPr>
        <w:t>95</w:t>
      </w:r>
      <w:r w:rsidRPr="007C489A">
        <w:rPr>
          <w:rFonts w:ascii="Times New Roman" w:hAnsi="Times New Roman"/>
          <w:sz w:val="24"/>
        </w:rPr>
        <w:t>: p. 111-125.</w:t>
      </w:r>
      <w:bookmarkEnd w:id="27"/>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8" w:name="_ENREF_29"/>
      <w:r w:rsidRPr="007C489A">
        <w:rPr>
          <w:rFonts w:ascii="Times New Roman" w:hAnsi="Times New Roman"/>
          <w:sz w:val="24"/>
        </w:rPr>
        <w:t>29.</w:t>
      </w:r>
      <w:r w:rsidRPr="007C489A">
        <w:rPr>
          <w:rFonts w:ascii="Times New Roman" w:hAnsi="Times New Roman"/>
          <w:sz w:val="24"/>
        </w:rPr>
        <w:tab/>
        <w:t xml:space="preserve">Larkin, M.A., et al., </w:t>
      </w:r>
      <w:r w:rsidRPr="007C489A">
        <w:rPr>
          <w:rFonts w:ascii="Times New Roman" w:hAnsi="Times New Roman"/>
          <w:i/>
          <w:sz w:val="24"/>
        </w:rPr>
        <w:t>Clustal W and Clustal X version 2.0.</w:t>
      </w:r>
      <w:r w:rsidRPr="007C489A">
        <w:rPr>
          <w:rFonts w:ascii="Times New Roman" w:hAnsi="Times New Roman"/>
          <w:sz w:val="24"/>
        </w:rPr>
        <w:t xml:space="preserve"> bioinformatics, 2007. </w:t>
      </w:r>
      <w:r w:rsidRPr="007C489A">
        <w:rPr>
          <w:rFonts w:ascii="Times New Roman" w:hAnsi="Times New Roman"/>
          <w:b/>
          <w:sz w:val="24"/>
        </w:rPr>
        <w:t>23</w:t>
      </w:r>
      <w:r w:rsidRPr="007C489A">
        <w:rPr>
          <w:rFonts w:ascii="Times New Roman" w:hAnsi="Times New Roman"/>
          <w:sz w:val="24"/>
        </w:rPr>
        <w:t>(21): p. 2947-2948.</w:t>
      </w:r>
      <w:bookmarkEnd w:id="28"/>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29" w:name="_ENREF_30"/>
      <w:r w:rsidRPr="007C489A">
        <w:rPr>
          <w:rFonts w:ascii="Times New Roman" w:hAnsi="Times New Roman"/>
          <w:sz w:val="24"/>
        </w:rPr>
        <w:t>30.</w:t>
      </w:r>
      <w:r w:rsidRPr="007C489A">
        <w:rPr>
          <w:rFonts w:ascii="Times New Roman" w:hAnsi="Times New Roman"/>
          <w:sz w:val="24"/>
        </w:rPr>
        <w:tab/>
        <w:t xml:space="preserve">Chou, P.Y. and G.D. Fasman, </w:t>
      </w:r>
      <w:r w:rsidRPr="007C489A">
        <w:rPr>
          <w:rFonts w:ascii="Times New Roman" w:hAnsi="Times New Roman"/>
          <w:i/>
          <w:sz w:val="24"/>
        </w:rPr>
        <w:t>Prediction of protein conformation.</w:t>
      </w:r>
      <w:r w:rsidRPr="007C489A">
        <w:rPr>
          <w:rFonts w:ascii="Times New Roman" w:hAnsi="Times New Roman"/>
          <w:sz w:val="24"/>
        </w:rPr>
        <w:t xml:space="preserve"> Biochemistry, 1974. </w:t>
      </w:r>
      <w:r w:rsidRPr="007C489A">
        <w:rPr>
          <w:rFonts w:ascii="Times New Roman" w:hAnsi="Times New Roman"/>
          <w:b/>
          <w:sz w:val="24"/>
        </w:rPr>
        <w:t>13</w:t>
      </w:r>
      <w:r w:rsidRPr="007C489A">
        <w:rPr>
          <w:rFonts w:ascii="Times New Roman" w:hAnsi="Times New Roman"/>
          <w:sz w:val="24"/>
        </w:rPr>
        <w:t>(2): p. 222-245.</w:t>
      </w:r>
      <w:bookmarkEnd w:id="29"/>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0" w:name="_ENREF_31"/>
      <w:r w:rsidRPr="007C489A">
        <w:rPr>
          <w:rFonts w:ascii="Times New Roman" w:hAnsi="Times New Roman"/>
          <w:sz w:val="24"/>
        </w:rPr>
        <w:t>31.</w:t>
      </w:r>
      <w:r w:rsidRPr="007C489A">
        <w:rPr>
          <w:rFonts w:ascii="Times New Roman" w:hAnsi="Times New Roman"/>
          <w:sz w:val="24"/>
        </w:rPr>
        <w:tab/>
        <w:t xml:space="preserve">Kabsch, W. and C. Sander, </w:t>
      </w:r>
      <w:r w:rsidRPr="007C489A">
        <w:rPr>
          <w:rFonts w:ascii="Times New Roman" w:hAnsi="Times New Roman"/>
          <w:i/>
          <w:sz w:val="24"/>
        </w:rPr>
        <w:t>How good are predictions of protein secondary structure?</w:t>
      </w:r>
      <w:r w:rsidRPr="007C489A">
        <w:rPr>
          <w:rFonts w:ascii="Times New Roman" w:hAnsi="Times New Roman"/>
          <w:sz w:val="24"/>
        </w:rPr>
        <w:t xml:space="preserve"> FEBS letters, 1983. </w:t>
      </w:r>
      <w:r w:rsidRPr="007C489A">
        <w:rPr>
          <w:rFonts w:ascii="Times New Roman" w:hAnsi="Times New Roman"/>
          <w:b/>
          <w:sz w:val="24"/>
        </w:rPr>
        <w:t>155</w:t>
      </w:r>
      <w:r w:rsidRPr="007C489A">
        <w:rPr>
          <w:rFonts w:ascii="Times New Roman" w:hAnsi="Times New Roman"/>
          <w:sz w:val="24"/>
        </w:rPr>
        <w:t>(2): p. 179-182.</w:t>
      </w:r>
      <w:bookmarkEnd w:id="30"/>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1" w:name="_ENREF_32"/>
      <w:r w:rsidRPr="007C489A">
        <w:rPr>
          <w:rFonts w:ascii="Times New Roman" w:hAnsi="Times New Roman"/>
          <w:sz w:val="24"/>
        </w:rPr>
        <w:t>32.</w:t>
      </w:r>
      <w:r w:rsidRPr="007C489A">
        <w:rPr>
          <w:rFonts w:ascii="Times New Roman" w:hAnsi="Times New Roman"/>
          <w:sz w:val="24"/>
        </w:rPr>
        <w:tab/>
        <w:t xml:space="preserve">Mount, D., </w:t>
      </w:r>
      <w:r w:rsidRPr="007C489A">
        <w:rPr>
          <w:rFonts w:ascii="Times New Roman" w:hAnsi="Times New Roman"/>
          <w:i/>
          <w:sz w:val="24"/>
        </w:rPr>
        <w:t>Using hidden Markov model to align multiple sequences in: Bioinformatics: Sequence and Genome Analysis</w:t>
      </w:r>
      <w:r w:rsidRPr="007C489A">
        <w:rPr>
          <w:rFonts w:ascii="Times New Roman" w:hAnsi="Times New Roman"/>
          <w:sz w:val="24"/>
        </w:rPr>
        <w:t>. 2004, Cold Spring Harbor Protocols.</w:t>
      </w:r>
      <w:bookmarkEnd w:id="31"/>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2" w:name="_ENREF_33"/>
      <w:r w:rsidRPr="007C489A">
        <w:rPr>
          <w:rFonts w:ascii="Times New Roman" w:hAnsi="Times New Roman"/>
          <w:sz w:val="24"/>
        </w:rPr>
        <w:lastRenderedPageBreak/>
        <w:t>33.</w:t>
      </w:r>
      <w:r w:rsidRPr="007C489A">
        <w:rPr>
          <w:rFonts w:ascii="Times New Roman" w:hAnsi="Times New Roman"/>
          <w:sz w:val="24"/>
        </w:rPr>
        <w:tab/>
        <w:t xml:space="preserve">Bernstein, H.J., </w:t>
      </w:r>
      <w:r w:rsidRPr="007C489A">
        <w:rPr>
          <w:rFonts w:ascii="Times New Roman" w:hAnsi="Times New Roman"/>
          <w:i/>
          <w:sz w:val="24"/>
        </w:rPr>
        <w:t>Recent changes to RasMol, recombining the variants.</w:t>
      </w:r>
      <w:r w:rsidRPr="007C489A">
        <w:rPr>
          <w:rFonts w:ascii="Times New Roman" w:hAnsi="Times New Roman"/>
          <w:sz w:val="24"/>
        </w:rPr>
        <w:t xml:space="preserve"> Trends in biochemical sciences, 2000. </w:t>
      </w:r>
      <w:r w:rsidRPr="007C489A">
        <w:rPr>
          <w:rFonts w:ascii="Times New Roman" w:hAnsi="Times New Roman"/>
          <w:b/>
          <w:sz w:val="24"/>
        </w:rPr>
        <w:t>25</w:t>
      </w:r>
      <w:r w:rsidRPr="007C489A">
        <w:rPr>
          <w:rFonts w:ascii="Times New Roman" w:hAnsi="Times New Roman"/>
          <w:sz w:val="24"/>
        </w:rPr>
        <w:t>(9): p. 453-455.</w:t>
      </w:r>
      <w:bookmarkEnd w:id="32"/>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3" w:name="_ENREF_34"/>
      <w:r w:rsidRPr="007C489A">
        <w:rPr>
          <w:rFonts w:ascii="Times New Roman" w:hAnsi="Times New Roman"/>
          <w:sz w:val="24"/>
        </w:rPr>
        <w:t>34.</w:t>
      </w:r>
      <w:r w:rsidRPr="007C489A">
        <w:rPr>
          <w:rFonts w:ascii="Times New Roman" w:hAnsi="Times New Roman"/>
          <w:sz w:val="24"/>
        </w:rPr>
        <w:tab/>
        <w:t xml:space="preserve">Yousef, M., T. Abdelkader, and K. ElBahnasy. </w:t>
      </w:r>
      <w:r w:rsidRPr="007C489A">
        <w:rPr>
          <w:rFonts w:ascii="Times New Roman" w:hAnsi="Times New Roman"/>
          <w:i/>
          <w:sz w:val="24"/>
        </w:rPr>
        <w:t>A hybrid model to predict proteins tertiary structure</w:t>
      </w:r>
      <w:r w:rsidRPr="007C489A">
        <w:rPr>
          <w:rFonts w:ascii="Times New Roman" w:hAnsi="Times New Roman"/>
          <w:sz w:val="24"/>
        </w:rPr>
        <w:t xml:space="preserve">. in </w:t>
      </w:r>
      <w:r w:rsidRPr="007C489A">
        <w:rPr>
          <w:rFonts w:ascii="Times New Roman" w:hAnsi="Times New Roman"/>
          <w:i/>
          <w:sz w:val="24"/>
        </w:rPr>
        <w:t>Computer Engineering and Systems (ICCES), 2017 12th International Conference on</w:t>
      </w:r>
      <w:r w:rsidRPr="007C489A">
        <w:rPr>
          <w:rFonts w:ascii="Times New Roman" w:hAnsi="Times New Roman"/>
          <w:sz w:val="24"/>
        </w:rPr>
        <w:t>. 2017. IEEE.</w:t>
      </w:r>
      <w:bookmarkEnd w:id="33"/>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4" w:name="_ENREF_35"/>
      <w:r w:rsidRPr="007C489A">
        <w:rPr>
          <w:rFonts w:ascii="Times New Roman" w:hAnsi="Times New Roman"/>
          <w:sz w:val="24"/>
        </w:rPr>
        <w:t>35.</w:t>
      </w:r>
      <w:r w:rsidRPr="007C489A">
        <w:rPr>
          <w:rFonts w:ascii="Times New Roman" w:hAnsi="Times New Roman"/>
          <w:sz w:val="24"/>
        </w:rPr>
        <w:tab/>
        <w:t xml:space="preserve">Law, V., et al., </w:t>
      </w:r>
      <w:r w:rsidRPr="007C489A">
        <w:rPr>
          <w:rFonts w:ascii="Times New Roman" w:hAnsi="Times New Roman"/>
          <w:i/>
          <w:sz w:val="24"/>
        </w:rPr>
        <w:t>DrugBank 4.0: shedding new light on drug metabolism.</w:t>
      </w:r>
      <w:r w:rsidRPr="007C489A">
        <w:rPr>
          <w:rFonts w:ascii="Times New Roman" w:hAnsi="Times New Roman"/>
          <w:sz w:val="24"/>
        </w:rPr>
        <w:t xml:space="preserve"> Nucleic acids research, 2013. </w:t>
      </w:r>
      <w:r w:rsidRPr="007C489A">
        <w:rPr>
          <w:rFonts w:ascii="Times New Roman" w:hAnsi="Times New Roman"/>
          <w:b/>
          <w:sz w:val="24"/>
        </w:rPr>
        <w:t>42</w:t>
      </w:r>
      <w:r w:rsidRPr="007C489A">
        <w:rPr>
          <w:rFonts w:ascii="Times New Roman" w:hAnsi="Times New Roman"/>
          <w:sz w:val="24"/>
        </w:rPr>
        <w:t>(D1): p. D1091-D1097.</w:t>
      </w:r>
      <w:bookmarkEnd w:id="34"/>
    </w:p>
    <w:p w:rsidR="00412F76" w:rsidRPr="007C489A" w:rsidRDefault="00412F76" w:rsidP="007C489A">
      <w:pPr>
        <w:pStyle w:val="EndNoteBibliography"/>
        <w:spacing w:after="0" w:line="360" w:lineRule="auto"/>
        <w:ind w:left="630" w:hanging="630"/>
        <w:jc w:val="both"/>
        <w:rPr>
          <w:rFonts w:ascii="Times New Roman" w:hAnsi="Times New Roman"/>
          <w:sz w:val="24"/>
        </w:rPr>
      </w:pPr>
      <w:bookmarkStart w:id="35" w:name="_ENREF_36"/>
      <w:r w:rsidRPr="007C489A">
        <w:rPr>
          <w:rFonts w:ascii="Times New Roman" w:hAnsi="Times New Roman"/>
          <w:sz w:val="24"/>
        </w:rPr>
        <w:t>36.</w:t>
      </w:r>
      <w:r w:rsidRPr="007C489A">
        <w:rPr>
          <w:rFonts w:ascii="Times New Roman" w:hAnsi="Times New Roman"/>
          <w:sz w:val="24"/>
        </w:rPr>
        <w:tab/>
        <w:t xml:space="preserve">Ritchie, D.W. and G.J. Kemp, </w:t>
      </w:r>
      <w:r w:rsidRPr="007C489A">
        <w:rPr>
          <w:rFonts w:ascii="Times New Roman" w:hAnsi="Times New Roman"/>
          <w:i/>
          <w:sz w:val="24"/>
        </w:rPr>
        <w:t>Protein docking using spherical polar Fourier correlations.</w:t>
      </w:r>
      <w:r w:rsidRPr="007C489A">
        <w:rPr>
          <w:rFonts w:ascii="Times New Roman" w:hAnsi="Times New Roman"/>
          <w:sz w:val="24"/>
        </w:rPr>
        <w:t xml:space="preserve"> Proteins: Structure, Function, and Bioinformatics, 2000. </w:t>
      </w:r>
      <w:r w:rsidRPr="007C489A">
        <w:rPr>
          <w:rFonts w:ascii="Times New Roman" w:hAnsi="Times New Roman"/>
          <w:b/>
          <w:sz w:val="24"/>
        </w:rPr>
        <w:t>39</w:t>
      </w:r>
      <w:r w:rsidRPr="007C489A">
        <w:rPr>
          <w:rFonts w:ascii="Times New Roman" w:hAnsi="Times New Roman"/>
          <w:sz w:val="24"/>
        </w:rPr>
        <w:t>(2): p. 178-194.</w:t>
      </w:r>
      <w:bookmarkEnd w:id="35"/>
    </w:p>
    <w:p w:rsidR="00412F76" w:rsidRPr="007C489A" w:rsidRDefault="00412F76" w:rsidP="007C489A">
      <w:pPr>
        <w:pStyle w:val="EndNoteBibliography"/>
        <w:spacing w:line="360" w:lineRule="auto"/>
        <w:ind w:left="630" w:hanging="630"/>
        <w:jc w:val="both"/>
        <w:rPr>
          <w:rFonts w:ascii="Times New Roman" w:hAnsi="Times New Roman"/>
          <w:sz w:val="24"/>
        </w:rPr>
      </w:pPr>
      <w:bookmarkStart w:id="36" w:name="_ENREF_37"/>
      <w:r w:rsidRPr="007C489A">
        <w:rPr>
          <w:rFonts w:ascii="Times New Roman" w:hAnsi="Times New Roman"/>
          <w:sz w:val="24"/>
        </w:rPr>
        <w:t>37.</w:t>
      </w:r>
      <w:r w:rsidRPr="007C489A">
        <w:rPr>
          <w:rFonts w:ascii="Times New Roman" w:hAnsi="Times New Roman"/>
          <w:sz w:val="24"/>
        </w:rPr>
        <w:tab/>
        <w:t xml:space="preserve">Tamizhazhagan, V., et al., </w:t>
      </w:r>
      <w:r w:rsidRPr="00A34730">
        <w:rPr>
          <w:rFonts w:ascii="Times New Roman" w:hAnsi="Times New Roman"/>
          <w:sz w:val="24"/>
        </w:rPr>
        <w:t>Antioxidant properties of Pisonia alba plant leaf extract.</w:t>
      </w:r>
      <w:r w:rsidRPr="007C489A">
        <w:rPr>
          <w:rFonts w:ascii="Times New Roman" w:hAnsi="Times New Roman"/>
          <w:sz w:val="24"/>
        </w:rPr>
        <w:t xml:space="preserve"> </w:t>
      </w:r>
      <w:r w:rsidRPr="00A34730">
        <w:rPr>
          <w:rFonts w:ascii="Times New Roman" w:hAnsi="Times New Roman"/>
          <w:i/>
          <w:sz w:val="24"/>
        </w:rPr>
        <w:t>International Journal of Zoology and Applied Biosciences</w:t>
      </w:r>
      <w:r w:rsidRPr="007C489A">
        <w:rPr>
          <w:rFonts w:ascii="Times New Roman" w:hAnsi="Times New Roman"/>
          <w:sz w:val="24"/>
        </w:rPr>
        <w:t xml:space="preserve">, 2017. </w:t>
      </w:r>
      <w:r w:rsidRPr="007C489A">
        <w:rPr>
          <w:rFonts w:ascii="Times New Roman" w:hAnsi="Times New Roman"/>
          <w:b/>
          <w:sz w:val="24"/>
        </w:rPr>
        <w:t>2</w:t>
      </w:r>
      <w:r w:rsidRPr="007C489A">
        <w:rPr>
          <w:rFonts w:ascii="Times New Roman" w:hAnsi="Times New Roman"/>
          <w:sz w:val="24"/>
        </w:rPr>
        <w:t>(6): p. 311-314.</w:t>
      </w:r>
      <w:bookmarkEnd w:id="36"/>
    </w:p>
    <w:p w:rsidR="00234552" w:rsidRPr="00234552" w:rsidRDefault="00BF493D" w:rsidP="007C489A">
      <w:pPr>
        <w:spacing w:line="360" w:lineRule="auto"/>
        <w:ind w:left="630" w:hanging="630"/>
        <w:jc w:val="both"/>
        <w:rPr>
          <w:rFonts w:ascii="Times New Roman" w:hAnsi="Times New Roman"/>
        </w:rPr>
      </w:pPr>
      <w:r w:rsidRPr="007C489A">
        <w:rPr>
          <w:rFonts w:ascii="Times New Roman" w:hAnsi="Times New Roman"/>
          <w:sz w:val="24"/>
        </w:rPr>
        <w:fldChar w:fldCharType="end"/>
      </w:r>
    </w:p>
    <w:sectPr w:rsidR="00234552" w:rsidRPr="00234552" w:rsidSect="00F8213A">
      <w:footerReference w:type="default" r:id="rId2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725" w:rsidRDefault="000F3725" w:rsidP="00F660C6">
      <w:pPr>
        <w:spacing w:after="0" w:line="240" w:lineRule="auto"/>
      </w:pPr>
      <w:r>
        <w:separator/>
      </w:r>
    </w:p>
  </w:endnote>
  <w:endnote w:type="continuationSeparator" w:id="1">
    <w:p w:rsidR="000F3725" w:rsidRDefault="000F3725" w:rsidP="00F66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552" w:rsidRDefault="00234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725" w:rsidRDefault="000F3725" w:rsidP="00F660C6">
      <w:pPr>
        <w:spacing w:after="0" w:line="240" w:lineRule="auto"/>
      </w:pPr>
      <w:r>
        <w:separator/>
      </w:r>
    </w:p>
  </w:footnote>
  <w:footnote w:type="continuationSeparator" w:id="1">
    <w:p w:rsidR="000F3725" w:rsidRDefault="000F3725" w:rsidP="00F660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F153E"/>
    <w:multiLevelType w:val="hybridMultilevel"/>
    <w:tmpl w:val="AEAA2D44"/>
    <w:lvl w:ilvl="0" w:tplc="AA5E845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17194555"/>
    <w:multiLevelType w:val="multilevel"/>
    <w:tmpl w:val="58EE1A8C"/>
    <w:lvl w:ilvl="0">
      <w:start w:val="1"/>
      <w:numFmt w:val="decimal"/>
      <w:lvlText w:val="%1.0"/>
      <w:lvlJc w:val="left"/>
      <w:pPr>
        <w:ind w:left="162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820" w:hanging="1800"/>
      </w:pPr>
      <w:rPr>
        <w:rFonts w:hint="default"/>
      </w:rPr>
    </w:lvl>
  </w:abstractNum>
  <w:abstractNum w:abstractNumId="2">
    <w:nsid w:val="1B2C1F4D"/>
    <w:multiLevelType w:val="hybridMultilevel"/>
    <w:tmpl w:val="B246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A545AB"/>
    <w:multiLevelType w:val="multilevel"/>
    <w:tmpl w:val="D416E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81BB7"/>
    <w:multiLevelType w:val="hybridMultilevel"/>
    <w:tmpl w:val="42505694"/>
    <w:lvl w:ilvl="0" w:tplc="EEFA9FBC">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61641"/>
    <w:multiLevelType w:val="hybridMultilevel"/>
    <w:tmpl w:val="C08E8C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7444D2"/>
    <w:multiLevelType w:val="hybridMultilevel"/>
    <w:tmpl w:val="14B018B0"/>
    <w:lvl w:ilvl="0" w:tplc="FD80C402">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nsid w:val="6A7149F7"/>
    <w:multiLevelType w:val="hybridMultilevel"/>
    <w:tmpl w:val="8F261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FD0DF8"/>
    <w:multiLevelType w:val="hybridMultilevel"/>
    <w:tmpl w:val="211EBE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B831FB"/>
    <w:multiLevelType w:val="multilevel"/>
    <w:tmpl w:val="42F2C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2"/>
  </w:num>
  <w:num w:numId="4">
    <w:abstractNumId w:val="7"/>
  </w:num>
  <w:num w:numId="5">
    <w:abstractNumId w:val="4"/>
  </w:num>
  <w:num w:numId="6">
    <w:abstractNumId w:val="5"/>
  </w:num>
  <w:num w:numId="7">
    <w:abstractNumId w:val="3"/>
  </w:num>
  <w:num w:numId="8">
    <w:abstractNumId w:val="9"/>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zcwMjI1NzQ0MDMzNTBS0lEKTi0uzszPAykwqgUAyVuw6y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t9a0wevofsa0aersrpp9efbdaztxs2a2ze2&quot;&gt;My EndNote Library-Saved&lt;record-ids&gt;&lt;item&gt;1153&lt;/item&gt;&lt;item&gt;1154&lt;/item&gt;&lt;item&gt;1155&lt;/item&gt;&lt;item&gt;1156&lt;/item&gt;&lt;item&gt;1157&lt;/item&gt;&lt;item&gt;1158&lt;/item&gt;&lt;item&gt;1159&lt;/item&gt;&lt;item&gt;1160&lt;/item&gt;&lt;item&gt;1162&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record-ids&gt;&lt;/item&gt;&lt;/Libraries&gt;"/>
  </w:docVars>
  <w:rsids>
    <w:rsidRoot w:val="00253F6E"/>
    <w:rsid w:val="00023279"/>
    <w:rsid w:val="00050D81"/>
    <w:rsid w:val="00084A29"/>
    <w:rsid w:val="000C2186"/>
    <w:rsid w:val="000F3725"/>
    <w:rsid w:val="001725B1"/>
    <w:rsid w:val="001C623C"/>
    <w:rsid w:val="001E5D2E"/>
    <w:rsid w:val="001F3D45"/>
    <w:rsid w:val="00211E38"/>
    <w:rsid w:val="00234552"/>
    <w:rsid w:val="00252D87"/>
    <w:rsid w:val="00253F6E"/>
    <w:rsid w:val="00267787"/>
    <w:rsid w:val="00290D2B"/>
    <w:rsid w:val="00293AF9"/>
    <w:rsid w:val="002A0327"/>
    <w:rsid w:val="002F3939"/>
    <w:rsid w:val="003361BC"/>
    <w:rsid w:val="003C33B8"/>
    <w:rsid w:val="003C4B25"/>
    <w:rsid w:val="00412F76"/>
    <w:rsid w:val="00425E2F"/>
    <w:rsid w:val="0043454C"/>
    <w:rsid w:val="00435A76"/>
    <w:rsid w:val="00455122"/>
    <w:rsid w:val="004B0ACA"/>
    <w:rsid w:val="005C2277"/>
    <w:rsid w:val="005E6792"/>
    <w:rsid w:val="005F08C3"/>
    <w:rsid w:val="00603006"/>
    <w:rsid w:val="006868DE"/>
    <w:rsid w:val="006A3BD6"/>
    <w:rsid w:val="007245A0"/>
    <w:rsid w:val="00742C1F"/>
    <w:rsid w:val="007741AB"/>
    <w:rsid w:val="00795761"/>
    <w:rsid w:val="007A3821"/>
    <w:rsid w:val="007C489A"/>
    <w:rsid w:val="007D7104"/>
    <w:rsid w:val="008E536E"/>
    <w:rsid w:val="008E759F"/>
    <w:rsid w:val="008F6B14"/>
    <w:rsid w:val="009D3A53"/>
    <w:rsid w:val="009D44DD"/>
    <w:rsid w:val="009F70A4"/>
    <w:rsid w:val="009F73BC"/>
    <w:rsid w:val="00A05DAE"/>
    <w:rsid w:val="00A34730"/>
    <w:rsid w:val="00A87CEE"/>
    <w:rsid w:val="00A96435"/>
    <w:rsid w:val="00AC2BA8"/>
    <w:rsid w:val="00BF3A6A"/>
    <w:rsid w:val="00BF493D"/>
    <w:rsid w:val="00C97414"/>
    <w:rsid w:val="00CC622D"/>
    <w:rsid w:val="00CC631A"/>
    <w:rsid w:val="00CF306A"/>
    <w:rsid w:val="00D47926"/>
    <w:rsid w:val="00D843C4"/>
    <w:rsid w:val="00EC405F"/>
    <w:rsid w:val="00EC5EC3"/>
    <w:rsid w:val="00ED57D9"/>
    <w:rsid w:val="00EF6B73"/>
    <w:rsid w:val="00F11ED9"/>
    <w:rsid w:val="00F660C6"/>
    <w:rsid w:val="00F80BBE"/>
    <w:rsid w:val="00F82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F6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F6E"/>
    <w:rPr>
      <w:color w:val="0000FF"/>
      <w:u w:val="single"/>
    </w:rPr>
  </w:style>
  <w:style w:type="paragraph" w:styleId="NormalWeb">
    <w:name w:val="Normal (Web)"/>
    <w:basedOn w:val="Normal"/>
    <w:uiPriority w:val="99"/>
    <w:unhideWhenUsed/>
    <w:rsid w:val="00253F6E"/>
    <w:pPr>
      <w:spacing w:before="100" w:beforeAutospacing="1" w:after="100" w:afterAutospacing="1" w:line="240" w:lineRule="auto"/>
    </w:pPr>
    <w:rPr>
      <w:rFonts w:ascii="Times New Roman" w:eastAsia="Times New Roman" w:hAnsi="Times New Roman"/>
      <w:sz w:val="24"/>
      <w:szCs w:val="24"/>
    </w:rPr>
  </w:style>
  <w:style w:type="character" w:customStyle="1" w:styleId="citation">
    <w:name w:val="citation"/>
    <w:basedOn w:val="DefaultParagraphFont"/>
    <w:rsid w:val="00253F6E"/>
  </w:style>
  <w:style w:type="paragraph" w:styleId="ListParagraph">
    <w:name w:val="List Paragraph"/>
    <w:basedOn w:val="Normal"/>
    <w:uiPriority w:val="34"/>
    <w:qFormat/>
    <w:rsid w:val="00253F6E"/>
    <w:pPr>
      <w:ind w:left="720"/>
      <w:contextualSpacing/>
    </w:pPr>
  </w:style>
  <w:style w:type="character" w:styleId="Emphasis">
    <w:name w:val="Emphasis"/>
    <w:basedOn w:val="DefaultParagraphFont"/>
    <w:uiPriority w:val="20"/>
    <w:qFormat/>
    <w:rsid w:val="00253F6E"/>
    <w:rPr>
      <w:i/>
      <w:iCs/>
    </w:rPr>
  </w:style>
  <w:style w:type="paragraph" w:styleId="Subtitle">
    <w:name w:val="Subtitle"/>
    <w:basedOn w:val="Normal"/>
    <w:next w:val="Normal"/>
    <w:link w:val="SubtitleChar"/>
    <w:uiPriority w:val="11"/>
    <w:qFormat/>
    <w:rsid w:val="00253F6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53F6E"/>
    <w:rPr>
      <w:rFonts w:ascii="Cambria" w:eastAsia="Times New Roman" w:hAnsi="Cambria" w:cs="Times New Roman"/>
      <w:sz w:val="24"/>
      <w:szCs w:val="24"/>
    </w:rPr>
  </w:style>
  <w:style w:type="paragraph" w:styleId="Header">
    <w:name w:val="header"/>
    <w:basedOn w:val="Normal"/>
    <w:link w:val="HeaderChar"/>
    <w:uiPriority w:val="99"/>
    <w:semiHidden/>
    <w:unhideWhenUsed/>
    <w:rsid w:val="00253F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3F6E"/>
    <w:rPr>
      <w:rFonts w:ascii="Calibri" w:eastAsia="Calibri" w:hAnsi="Calibri" w:cs="Times New Roman"/>
    </w:rPr>
  </w:style>
  <w:style w:type="paragraph" w:styleId="Footer">
    <w:name w:val="footer"/>
    <w:basedOn w:val="Normal"/>
    <w:link w:val="FooterChar"/>
    <w:uiPriority w:val="99"/>
    <w:unhideWhenUsed/>
    <w:rsid w:val="00253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F6E"/>
    <w:rPr>
      <w:rFonts w:ascii="Calibri" w:eastAsia="Calibri" w:hAnsi="Calibri" w:cs="Times New Roman"/>
    </w:rPr>
  </w:style>
  <w:style w:type="character" w:customStyle="1" w:styleId="apple-converted-space">
    <w:name w:val="apple-converted-space"/>
    <w:basedOn w:val="DefaultParagraphFont"/>
    <w:rsid w:val="00253F6E"/>
  </w:style>
  <w:style w:type="paragraph" w:styleId="BalloonText">
    <w:name w:val="Balloon Text"/>
    <w:basedOn w:val="Normal"/>
    <w:link w:val="BalloonTextChar"/>
    <w:uiPriority w:val="99"/>
    <w:semiHidden/>
    <w:unhideWhenUsed/>
    <w:rsid w:val="00253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F6E"/>
    <w:rPr>
      <w:rFonts w:ascii="Tahoma" w:eastAsia="Calibri" w:hAnsi="Tahoma" w:cs="Tahoma"/>
      <w:sz w:val="16"/>
      <w:szCs w:val="16"/>
    </w:rPr>
  </w:style>
  <w:style w:type="paragraph" w:styleId="NoSpacing">
    <w:name w:val="No Spacing"/>
    <w:uiPriority w:val="1"/>
    <w:qFormat/>
    <w:rsid w:val="00253F6E"/>
    <w:pPr>
      <w:spacing w:after="0" w:line="240" w:lineRule="auto"/>
    </w:pPr>
    <w:rPr>
      <w:rFonts w:ascii="Calibri" w:eastAsia="Calibri" w:hAnsi="Calibri" w:cs="Times New Roman"/>
    </w:rPr>
  </w:style>
  <w:style w:type="table" w:styleId="TableGrid">
    <w:name w:val="Table Grid"/>
    <w:basedOn w:val="TableNormal"/>
    <w:uiPriority w:val="59"/>
    <w:rsid w:val="00253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53F6E"/>
  </w:style>
  <w:style w:type="paragraph" w:customStyle="1" w:styleId="EndNoteBibliographyTitle">
    <w:name w:val="EndNote Bibliography Title"/>
    <w:basedOn w:val="Normal"/>
    <w:link w:val="EndNoteBibliographyTitleChar"/>
    <w:rsid w:val="00F8213A"/>
    <w:pPr>
      <w:spacing w:after="0"/>
      <w:jc w:val="center"/>
    </w:pPr>
    <w:rPr>
      <w:noProof/>
    </w:rPr>
  </w:style>
  <w:style w:type="character" w:customStyle="1" w:styleId="EndNoteBibliographyTitleChar">
    <w:name w:val="EndNote Bibliography Title Char"/>
    <w:basedOn w:val="DefaultParagraphFont"/>
    <w:link w:val="EndNoteBibliographyTitle"/>
    <w:rsid w:val="00F8213A"/>
    <w:rPr>
      <w:rFonts w:ascii="Calibri" w:eastAsia="Calibri" w:hAnsi="Calibri" w:cs="Times New Roman"/>
      <w:noProof/>
    </w:rPr>
  </w:style>
  <w:style w:type="paragraph" w:customStyle="1" w:styleId="EndNoteBibliography">
    <w:name w:val="EndNote Bibliography"/>
    <w:basedOn w:val="Normal"/>
    <w:link w:val="EndNoteBibliographyChar"/>
    <w:rsid w:val="00F8213A"/>
    <w:pPr>
      <w:spacing w:line="240" w:lineRule="auto"/>
    </w:pPr>
    <w:rPr>
      <w:noProof/>
    </w:rPr>
  </w:style>
  <w:style w:type="character" w:customStyle="1" w:styleId="EndNoteBibliographyChar">
    <w:name w:val="EndNote Bibliography Char"/>
    <w:basedOn w:val="DefaultParagraphFont"/>
    <w:link w:val="EndNoteBibliography"/>
    <w:rsid w:val="00F8213A"/>
    <w:rPr>
      <w:rFonts w:ascii="Calibri" w:eastAsia="Calibri" w:hAnsi="Calibri" w:cs="Times New Roman"/>
      <w:noProof/>
    </w:rPr>
  </w:style>
  <w:style w:type="paragraph" w:customStyle="1" w:styleId="Default">
    <w:name w:val="Default"/>
    <w:rsid w:val="00EC5EC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medicine.medscape.com/article/204930-overview"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Bacteri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en.wikipedia.org/wiki/Viru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javascript:showrefcontent('refrenceslayer');"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14DF-C7A4-41CC-8F95-726777D3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15</Pages>
  <Words>9239</Words>
  <Characters>52668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Tamil</cp:lastModifiedBy>
  <cp:revision>35</cp:revision>
  <dcterms:created xsi:type="dcterms:W3CDTF">2017-12-26T15:57:00Z</dcterms:created>
  <dcterms:modified xsi:type="dcterms:W3CDTF">2018-07-25T21:22:00Z</dcterms:modified>
</cp:coreProperties>
</file>